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42.2021.24 vom 16. August 2021</w:t>
      </w:r>
    </w:p>
    <w:p>
      <w:r>
        <w:t>TI Tribunale d'appello, 2021-08-16, IT</w:t>
      </w:r>
    </w:p>
    <w:p>
      <w:r>
        <w:rPr>
          <w:b/>
        </w:rPr>
        <w:t xml:space="preserve">Quelle: </w:t>
      </w:r>
      <w:r>
        <w:t>https://mcp.opencaselaw.ch/entscheid/ti_gerichte_42.2021.24</w:t>
      </w:r>
    </w:p>
    <w:p>
      <w:r>
        <w:t>FR: TI_GERICHTE 42.2021.24 du 16 août 2021</w:t>
      </w:r>
    </w:p>
    <w:p>
      <w:r>
        <w:t>IT: TI_GERICHTE 42.2021.24 del 16 agosto 2021</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2.13</w:t>
      </w:r>
    </w:p>
    <w:p>
      <w:r>
        <w:t>Alla luce di tutto quanto esposto sopra, la decisione su reclamo emessa dall’USSI il 10 febbraio 2021 deve essere confermata.</w:t>
      </w:r>
    </w:p>
    <w:p>
      <w:r>
        <w:rPr>
          <w:b/>
        </w:rPr>
        <w:t>E. 2.14</w:t>
      </w:r>
    </w:p>
    <w:p>
      <w:r>
        <w:t>L’insorgente ha chiesto di essere posta al beneficio del gratuito patrocinio (cfr. doc. II).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8C_8C_925/2014 del 18 dicembre 2015 consid. 6;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U 102/04 del 20 settembre 2004; STF 9C_673/2009 del 14 aprile 2010 consid. 7.2). Generalmente dal punto di vista temporale lo stato di bisogno dell’istante va determinato secondo la situazione esistente al momento della decisione (cfr. STF 8C_529/2011 del 4 luglio 2012 consid. 6.1.; SVR 1998 UV Nr. 11 consid. 4a). 2.15.   Nel caso di specie risulta dagli atti di causa che la ricorrente è al beneficio di prestazioni assistenziali dal 2017 (cfr. consid. 1.1.; 2.10.; doc. 346). In tali circostanze l'indigenza deve essere ammessa. Va poi considerato, da una parte, che l’insorgente non dispone delle necessarie conoscenze giuridiche, per cui l'intervento di un rappresentante legale, in casu l'avv. RA 1, appare giustificato, dall’altra, che le argomentazioni ricorsuali non erano palesemente destituite di esito favorevole. A quest’ultimo riguardo va evidenziato che una domanda non è priva di probabilità di successo se le possibilità di vittoria e di sconfitta sono pressoché equivalenti o se le prime sono di poco inferiori alle seconde (cfr. STF 9C_168/2021 del 22 giugno 2021 consid. 2; STF 8C_56/2021 del 17 marzo 2021 consid. 8.1.). Il TCA ritiene, dunque, che in concreto siano soddisfatti i requisiti cumulativi per la concessione del gratuito patrocinio a favore della ricorrente. È riservato l'eventuale obbligo di rimborso, qualora la situazione economica dell'insorgente dovesse più tardi migliorare (cfr. art. 6 LAG; relativamente al gratuito patrocinio nella procedura davanti al TF: cfr. art. 64 cpv. 4 LTF; STF 9C_735/2019 del 13 maggio 2020 consid. 6; STF I 472/06 del 21 agosto 2007 consid. 7.2.; STFA U 234/00 del 23 maggio 2002 consid. 5a, parzialmente pubblicata in DTF 128 V 174; DTF 124 V 301, consid. 6). 2.16.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3</w:t>
      </w:r>
    </w:p>
    <w:p>
      <w:r>
        <w:t>persone                                          1'851.--</w:t>
      </w:r>
    </w:p>
    <w:p>
      <w:r>
        <w:rPr>
          <w:b/>
        </w:rPr>
        <w:t>E. 4</w:t>
      </w:r>
    </w:p>
    <w:p>
      <w:r>
        <w:t>persone                                          2'129.--</w:t>
      </w:r>
    </w:p>
    <w:p>
      <w:r>
        <w:rPr>
          <w:b/>
        </w:rPr>
        <w:t>E. 5</w:t>
      </w:r>
    </w:p>
    <w:p>
      <w:r>
        <w:t>persone 2'435.--</w:t>
      </w:r>
    </w:p>
    <w:p>
      <w:r>
        <w:t>Per ogni persona + 204.--</w:t>
      </w:r>
    </w:p>
    <w:p>
      <w:r>
        <w:t>supplementare</w:t>
      </w:r>
    </w:p>
    <w:p>
      <w:r>
        <w:t>(cfr. Direttive riguardanti gli importi delle prestazioni assistenziali per il 2021, in BU 1/2021 del 5 gennaio 2021, pag. 2).</w:t>
      </w:r>
    </w:p>
    <w:p>
      <w:r>
        <w:t>2.5.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Giusta lart. 4b Laps:</w:t>
      </w:r>
    </w:p>
    <w:p>
      <w:r>
        <w:t>"Se entrambi i genitori sono privati dellautorità parentale, il minorenne fa parte dellunità di riferimento della madre.</w:t>
      </w:r>
    </w:p>
    <w:p>
      <w:r>
        <w:t>Lart. 21 Las prevede che</w:t>
      </w:r>
    </w:p>
    <w:p>
      <w:r>
        <w:t>"1In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w:t>
      </w:r>
    </w:p>
    <w:p>
      <w:r>
        <w:t>2In caso di rigore, lautorità competente può pure escludere dallunità di riferimento altri membri che non ottemperano ai loro obblighi di mantenimento o di assistenza nei confronti del titolare del diritto, ai sensi degli art. 159, 163, 276, 328 e 329 CCS.</w:t>
      </w:r>
    </w:p>
    <w:p>
      <w:r>
        <w:t>Relativamente al concetto di figli maggiorenni non economicamente indipendenti, di cui allart. 4 cpv. 1 lett. e Laps, lart. 2 Reg.Laps enuncia:</w:t>
      </w:r>
    </w:p>
    <w:p>
      <w:r>
        <w:t>"1Una persona maggiorenne non è economicamente indipendente se, cumulativamente:</w:t>
      </w:r>
    </w:p>
    <w:p>
      <w:r>
        <w:t>a) ha meno di 30 anni;</w:t>
      </w:r>
    </w:p>
    <w:p>
      <w:r>
        <w:t>b) non è sposata, legalmente divorziata, separata o vedova, non è o non è stata vincolata da ununione domestica registrata;</w:t>
      </w:r>
    </w:p>
    <w:p>
      <w:r>
        <w:t>c) non ha figli;</w:t>
      </w:r>
    </w:p>
    <w:p>
      <w:r>
        <w:t>d) è in prima formazione.</w:t>
      </w:r>
    </w:p>
    <w:p>
      <w:r>
        <w:t>2Vi è prima formazione ai sensi del cpv. 1 lett. d) quando, senza interruzione del percorso formativo superiore ai 24 mesi, una persona maggiorenne frequenta una formazione del livello seguente:</w:t>
      </w:r>
    </w:p>
    <w:p>
      <w:r>
        <w:t>a) primario, secondario 1, oppure secondario 2 di tipo propedeutico;</w:t>
      </w:r>
    </w:p>
    <w:p>
      <w:r>
        <w:t>b) secondario 2 di tipo professionale o terziario non universitario, se non possiede già un titolo dello stesso livello o di livello superiore;</w:t>
      </w:r>
    </w:p>
    <w:p>
      <w:r>
        <w:t>c) terziario di tipo universitario professionale e accademico compresa la frequenza del biennio che completa la laurea breve o del master che completa il bachelor, se non possiede già un titolo di livello terziario;</w:t>
      </w:r>
    </w:p>
    <w:p>
      <w:r>
        <w:t>d) perfezionamento linguistico dopo una formazione di livello secondario 2.</w:t>
      </w:r>
    </w:p>
    <w:p>
      <w:r>
        <w:t>3</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"1Lobbligo di mantenimento dura fino alla maggiore età del figlio.</w:t>
      </w:r>
    </w:p>
    <w:p>
      <w:r>
        <w:t>2Se, raggiunta la maggiore età, il figlio non ha ancora una formazione</w:t>
      </w:r>
    </w:p>
    <w:p>
      <w:r>
        <w:t>appropriata, i genitori, per quanto si possa ragionevolmente pretendere da loro dato linsieme delle circostanze, devono continuare a provvedere al suo mantenimento fino al momento in cui una simile formazione possa normalmente concludersi.</w:t>
      </w:r>
    </w:p>
    <w:p>
      <w:r>
        <w:t>Relativamente ai figli maggiorenni, lart. 277 cpv. 2 CC contempla, quindi, da parte dei genitori un obbligo di mantenimento ragionevole nella misura in cui il figlio stia ancora seguendo una formazione adeguata. Il concettoper quanto si possa ragionevolmente pretenderedai genitori richiede di mettere a confronto la situazione economica di questi ultimi con la capacità lavorativa del figlio maggiorenne (cfr. STF8C_882/2009 del 19 febbraio 2010, pubblicata in DLA 2011 N. 2 pag. 61).</w:t>
      </w:r>
    </w:p>
    <w:p>
      <w:r>
        <w:t>Nella sentenza 8C_882/2009 del 19 febbraio 2010, pubblicata in DLA 2011 N. 2 pag. 61, appena citata il TF ha, inoltre, sottolineato che la responsabilità individuale del figlio maggiorenne è, in ogni caso, prioritaria rispetto allobbligo di mantenimento da parte dei genitori (cfr. art. 276 cpv. 3 CC), per cui il figlio durante la formazione è tenuto a sfruttare,per quanto compatibile con questultima, tutte le possibilità per provvedere al proprio sostentamento, in particolare deve dedicarsi a unattività lavorativa, in relazione alla quale va semmai computato un reddito ipotetico.</w:t>
      </w:r>
    </w:p>
    <w:p>
      <w:r>
        <w:t>Secondo lart. 328 CC, concernente lassistenza tra parenti:</w:t>
      </w:r>
    </w:p>
    <w:p>
      <w:r>
        <w:t>"1Chi vive in condizioni agiate è tenuto a soccorrere i parenti in linea ascendente e discendente quando senza di ciò essi cadessero nel bisogno.</w:t>
      </w:r>
    </w:p>
    <w:p>
      <w:r>
        <w:t>2È fatto salvo lobbligo di mantenimento dei genitori e del coniuge o del partner registrato.</w:t>
      </w:r>
    </w:p>
    <w:p>
      <w:r>
        <w:t>Al riguardo giova evidenziare che l'art. 328 CC prevede l'assistenza tra parenti in linea ascendente e discendente soltanto per chi vive in condizioni agiate (cfr. STF 5A_122/2012 del 21 giugno 2012).</w:t>
      </w:r>
    </w:p>
    <w:p>
      <w:r>
        <w:t>Siccome il concetto del dovere di assistenza tra parenti è in sé problematico e non si adatta più ai tempi attuali, la nozione di "condizioni agiate" deve essere interpretata in senso stretto.</w:t>
      </w:r>
    </w:p>
    <w:p>
      <w:r>
        <w:t>La Conferenza svizzera per l'aiuto sociale 2000, nelle sue direttive in vigore dal 1° gennaio 2001, ha proposto agli organi dell'aiuto sociale di considerare che le persone sono in grado di contribuire al mantenimento dei loro parenti a partire da un reddito imponibile di fr. 120'000.-- per le persone sole e di fr. 180'000.-- per le coppie, a cui aggiungere l'ammontare di fr. 20'000.-- per ogni figlio minorenne o in formazione (cfr. Direttive COSAS 2005, modificate nel dicembre 2008, p.to F4; Basler Kommentar, 2006, ad art. 328 ZGB n. 15b e 17).</w:t>
      </w:r>
    </w:p>
    <w:p>
      <w:r>
        <w:t>Dalla sostanza imponibile si potrà dedurre una quota liberamente disponibile e ciò nella seguente misura: per le persone singole fr. 250'000; per le persone sposate fr. 500'000; per ogni figlio fr. 400000. La somma rimanente dovrà essere convertita in reddito sulla base dellaspettativa di vita media (importo annuale) e messa in conto come tale (cfr. Direttive COSAS 2005 modificate nel dicembre 2008, p.to F4).</w:t>
      </w:r>
    </w:p>
    <w:p>
      <w:r>
        <w:t>Il TF, nella DTF 132 III 97, ha inoltre stabilito che l'assistenza fra parenti non è più estesa dell'assistenza sociale, ma deve almeno garantire il minimo vitale calcolato in base alle regole del diritto esecutivo e che per prestare l'assistenza, il parente obbligato è tenuto a intaccare il suo patrimonio, a meno che questo non debba rimanere intatto per garantire a lungo termine il suo sostentamento, in particolare con riferimento alla vecchiaia.</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Inoltre con giudizio 42.2020.14 del 30 novembre 2020 il TCA ha confermato il modo di operare dellUfficio delle misure attive che nel contesto del calcolo dellindennità straordinaria cantonale di disoccupazione aveva considerato ununità di riferimento composta, oltre che della ricorrente, di suo figlio e di suo marito, anche dei figli minorenni di questultimo, nonostante fosse stato privato, come la madre che viveva allestero, della custodia (i figli erano stati affidati a un centro educativo) e dellautorità parentale.</w:t>
      </w:r>
    </w:p>
    <w:p>
      <w:r>
        <w:t>2.9.   Per quanto concerne i figli maggiorenni, con sentenza 39.2011.6 del 21 maggio 2012, pubblicata in RtiD I-2013 N. 9 pag. 25 segg., questa Corte ha stabilito cheper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w:t>
      </w:r>
    </w:p>
    <w:p>
      <w:r>
        <w:t>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w:t>
      </w:r>
    </w:p>
    <w:p>
      <w:r>
        <w:t>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w:t>
      </w:r>
    </w:p>
    <w:p>
      <w:r>
        <w:t>In tale ipotesi lart. 2 Reg.Laps si rivelerebbe pure contrario allart. 328 CC.</w:t>
      </w:r>
    </w:p>
    <w:p>
      <w:r>
        <w:t>Infatti, qualora le sue entrate fossero anche lievemente superiori al suo fabbisogno minimo, si imporrebbe al figlio maggiorenne minore di 30 anni in prima formazione di aiutare i genitori ed eventuali fratelli nel loro rispettivo mantenimento.</w:t>
      </w:r>
    </w:p>
    <w:p>
      <w:r>
        <w:t>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w:t>
      </w:r>
    </w:p>
    <w:p>
      <w:r>
        <w:t>Questa Corte ha, pertanto, deciso che lart. 2 cpv. 1 Reg.Laps deve essere interpretato conformemente agli art. 277 cpv. 2, 276 cpv. 3 e 328 CC, al fine di non violare il principio della forza derogatoria del diritto federale codificato allart. 49 cpv. 1 Cost.</w:t>
      </w:r>
    </w:p>
    <w:p>
      <w:r>
        <w:t>Se il figlio ossequia i quattro presupposti di cui allart. 2 cpv. 1 lett. a, b, c, d Reg.Laps e non risulta in grado di provvedere al proprio sostentamento, in quanto non dispone di alcuna risorsa o comunque le sue risorse non sono sufficienti a coprirne il fabbisogno, egli rientrerà nellunità di riferimento dei genitori.</w:t>
      </w:r>
    </w:p>
    <w:p>
      <w:r>
        <w:t>Se, per contro,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w:t>
      </w:r>
    </w:p>
    <w:p>
      <w:r>
        <w:t>Relativamente alla nozione di prima formazione, cfr. pure STCA 42.2015.4 del 5 novembre 2015, pubblicata in RtiD II-2016 N. 4 pag. 23 segg.</w:t>
      </w:r>
    </w:p>
    <w:p>
      <w:r>
        <w:t>Questo Tribunale, nella sentenza menzionata, ha stabilito chelunità di riferimento di una richiedente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 Il TCA ha, pertanto, rinviato gli atti allUSSI per determinare il diritto della ricorrente alle prestazioni assistenziali richieste nellottobre 2014 tenendo conto nellunità di riferimento anche del figlio.</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indicato quale prova la propria audizione (cfr. doc. XVI).</w:t>
      </w:r>
    </w:p>
    <w:p>
      <w:r>
        <w:t>La medesima ha, quindi, chiesto lassunzione di una nuova prova.</w:t>
      </w:r>
    </w:p>
    <w:p>
      <w:r>
        <w:t>2.14.Linsorgente ha chiesto di essere posta al beneficio del gratuito patrocinio (cfr. doc. II).</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U 102/04 del 20 settembre 2004; STF 9C_673/2009 del 14 aprile 2010 consid. 7.2).</w:t>
      </w:r>
    </w:p>
    <w:p>
      <w:r>
        <w:t>Generalmente dal punto di vista temporale lo stato di bisogno dellistante va determinato secondo la situazione esistente al momento della decisione (cfr. STF 8C_529/2011 del 4 luglio 2012 consid. 6.1.; SVR 1998 UV Nr. 11 consid. 4a).</w:t>
      </w:r>
    </w:p>
    <w:p>
      <w:r>
        <w:t>2.15.   Nel caso di specie risulta dagli atti di causa che la ricorrente è al beneficio di prestazioni assistenziali dal 2017 (cfr. consid. 1.1.; 2.10.; doc. 346).</w:t>
      </w:r>
    </w:p>
    <w:p>
      <w:r>
        <w:t>In tali circostanze l'indigenza deve essere ammessa.</w:t>
      </w:r>
    </w:p>
    <w:p>
      <w:r>
        <w:t>Va poi considerato, da una parte, che linsorgente non dispone delle necessarie conoscenze giuridiche, per cui l'intervento di un rappresentante legale, in casu l'avv. RA 1, appare giustificato, dallaltra, che le argomentazioni ricorsuali non erano palesemente destituite di esito favorevole. A questultimo riguardo va evidenziato cheuna domanda non è priva di probabilità di successo se le possibilità di vittoria e di sconfitta sono pressoché equivalenti o se le prime sono di poco inferiori alle seconde (cfr. STF 9C_168/2021 del 22 giugno 2021 consid. 2; STF 8C_56/2021 del 17 marzo 2021 consid. 8.1.).</w:t>
      </w:r>
    </w:p>
    <w:p>
      <w:r>
        <w:t>Il TCA ritiene, dunque, che in concreto siano soddisfatti i requisiti cumulativi per la concessione del gratuito patrocinio a favore della ricorrente.</w:t>
      </w:r>
    </w:p>
    <w:p>
      <w:r>
        <w:t>2.16.   In ambito di assistenza sociale, per quanto riguarda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6</w:t>
      </w:r>
    </w:p>
    <w:p>
      <w:r>
        <w:t>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lart.82a LPGA (Disposizione transitoria, cfr. RU 2021 358)ai ricorsi pendenti dinanzi al tribunale di primo grado al momento dellentrata in vigore della modifica del 21 giugno 2019 si applica il diritto anteriore.</w:t>
      </w:r>
    </w:p>
    <w:p>
      <w:r>
        <w:t>In concreto il ricorso è del 22 marzo 2021 per cui si applica la nuova disposizione legale.</w:t>
      </w:r>
    </w:p>
    <w:p>
      <w:r>
        <w:t>Trattandosi di prestazioni dellassistenza sociale per le quali il legislatore cantonale non ha previsto di prelevare le spese e considerato il tenore dellattuale art. 29 Lptca, la presente procedura è esente da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