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42.2021.17 vom 16. Juni 2021</w:t>
      </w:r>
    </w:p>
    <w:p>
      <w:r>
        <w:t>TI Tribunale d'appello, 2021-06-16, IT</w:t>
      </w:r>
    </w:p>
    <w:p>
      <w:r>
        <w:rPr>
          <w:b/>
        </w:rPr>
        <w:t xml:space="preserve">Quelle: </w:t>
      </w:r>
      <w:r>
        <w:t>https://mcp.opencaselaw.ch/entscheid/ti_gerichte_42.2021.17</w:t>
      </w:r>
    </w:p>
    <w:p>
      <w:r>
        <w:t>FR: TI_GERICHTE 42.2021.17 du 16 juin 2021</w:t>
      </w:r>
    </w:p>
    <w:p>
      <w:r>
        <w:t>IT: TI_GERICHTE 42.2021.17 del 16 giugno 2021</w:t>
      </w:r>
    </w:p>
    <w:p>
      <w:pPr>
        <w:pStyle w:val="Heading2"/>
      </w:pPr>
      <w:r>
        <w:t>Erwägungen</w:t>
      </w:r>
    </w:p>
    <w:p>
      <w:r>
        <w:rPr>
          <w:b/>
        </w:rPr>
        <w:t>E. 4</w:t>
      </w:r>
    </w:p>
    <w:p>
      <w:r>
        <w:t>cpv. 1 OPGA enuncia che se il beneficiario era in buona fede e si trova in gravi difficoltà, lassicuratore rinuncia completamente o in parte alla restituzione delle prestazioni indebitamente concesse.</w:t>
      </w:r>
    </w:p>
    <w:p>
      <w:r>
        <w:t>Ai sensi del cpv. 2 determinante per il riconoscimento di una grave difficoltà è il momento in cui la decisione di restituzione passa in giudicato.</w:t>
      </w:r>
    </w:p>
    <w:p>
      <w:r>
        <w:t>Il cpv. 4 prevede, poi, che il condono è concesso su domanda scritta. La domanda, motivata e corredata dei necessari giustificativi, deve essere inoltrata entro 30 giorni dal momento in cui la decisione è passata in giudicato (cfr. art. 4 cpv. 4 OPGA).</w:t>
      </w:r>
    </w:p>
    <w:p>
      <w:r>
        <w:t>Secondo il cpv. 5 sul condono è pronunciata una decisione.</w:t>
      </w:r>
    </w:p>
    <w:p>
      <w:r>
        <w:t>L'art.</w:t>
      </w:r>
    </w:p>
    <w:p>
      <w:r>
        <w:rPr>
          <w:b/>
        </w:rPr>
        <w:t>E. 5</w:t>
      </w:r>
    </w:p>
    <w:p>
      <w:r>
        <w:t>OPGA definisce cosa si intende con "gravi difficoltà" e recita:</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quindi, essere accordato.</w:t>
      </w:r>
    </w:p>
    <w:p>
      <w:r>
        <w:t>2.4.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8C_213/2019 del 13 giugno 2019 consid. 2.1.; STF 8C_178/2018 del 6 agosto 2018 consid. 3.1.; STF 9C_463/2016 del 12 luglio 2017 consid. 2.1.; STF 8C_373/2016 del 29 marzo 2017 consid. 4, pubblicata in DLA 2017 N. 5 pag. 144; STF 8C_385/2011 del 13 febbraio 2012 consid. 3;STF8C_865/2008 del 27 gennaio 2009 consid. 4;DLA 2003 N. 29, consid. 1.2, pag. 260; DLA 2002 N. 38, consid. 2a, pag. 258; DLA 2001 N. 18, consid. 3a, pag. 161-162; DLA 1998 N. 14, consid. 4a, pag. 73; DLA 1992 N. 7, consid.2b, pag. 103; DTF 112 V 97, consid. 2c, pag. 103, DTF 110 V 176, consid.3c, pag. 180).</w:t>
      </w:r>
    </w:p>
    <w:p>
      <w:r>
        <w:t>In effetti per costante giurisprudenza federale è possibile pronunciare una decisione di condono solo al momento della crescita in giudicato formale della decisione di restituzione, ritenuto che unicamente in quel caso tale obbligo è stabilito definitivamente (cfr. STF 8C_589/2016 del 26 aprile 2017 consid. 3.1.; STF 9C_211/2009 del 26 febbraio 2010; STF 8C_130/2008 dell'11 luglio 2008; STF 8C_617/2009 del 5 novembre 2009).</w:t>
      </w:r>
    </w:p>
    <w:p>
      <w:r>
        <w:t>Per quanto attiene al termine di 30 giorni di cui allart. 4 cpv. 4 OPGA, va però evidenziato che si tratta di una prescrizione dordine e non di un termine di perenzione (cfr. STF 9C_795/2020 del 10 marzo 2021 consid. 5; DTF 132 V 42; STF 8C_602/2007 del 13 dicembre 2007 consid. 3; STFA C 169/05 del 13 aprile 2006).</w:t>
      </w:r>
    </w:p>
    <w:p>
      <w:r>
        <w:t>In simili condizioni gli atti vanno rinviati allUSSI perché si pronunci sulla domanda di condono dell11 novembre 2019 concernente la somma di fr. 550.-- nel senso appena esposto.</w:t>
      </w:r>
    </w:p>
    <w:p>
      <w:r>
        <w:t>2.6.   Riguardo al condono, come già osservato nella STCA 42.2020.17 del 28 settembre 2020, è utile rilevare, in primo luogo, che in una sentenza C 70/03 del 2 luglio 2003, pubblicata in DLA 2005 N. 7 pag. 70, relativa ad un assicurato al quale la cassa di disoccupazione aveva versato inavvertitamente un numero eccessivo di indennità di disoccupazione, il Tribunale federale ha stabilito che egli non poteva invocare la sua buona fede (condizione da adempiere, unitamente allonere troppo grave, per ottenere il condono; cfr. consid. 2.2.-2.4.),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w:t>
      </w:r>
    </w:p>
    <w:p>
      <w:r>
        <w:t>LAlta Corte, visto levidente divario fra il probabile guadagno perso dallassicurato a seguito della disoccupazione e le prestazioni dellassicurazione disoccupazione invece percepite, ha pure escluso che in concreto si trattava di un caso di negligenza lieve.</w:t>
      </w:r>
    </w:p>
    <w:p>
      <w:r>
        <w:t>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w:t>
      </w:r>
    </w:p>
    <w:p>
      <w:r>
        <w:t>LAlta Corte, con giudizio 9C_453/2011 del 15 settembre 2011, ha, inoltre, confermato il diniego del condonodella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w:t>
      </w:r>
    </w:p>
    <w:p>
      <w:r>
        <w:t>IlTribunale federale, con sentenza 9C_951/2011 del 26 aprile 2012, pubblicata in DTF 138 V 218 e SVR 2012 AHV Nr. 12 pag. 46, ha deciso chela buona fede doveva essere negatanel caso di una domanda di condono dellobbligo di restituire delle rendite per vedovo percepite indebitamente a seguito di un secondo matrimonio, anche qualora il dovere di informare in merito alla modificazione dello stato civile fosse stato adempiuto da parte dellassicurato.</w:t>
      </w:r>
    </w:p>
    <w:p>
      <w:r>
        <w:t>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w:t>
      </w:r>
    </w:p>
    <w:p>
      <w:r>
        <w:t>Al riguardo cfr. pure STF C 264/05 del 25 gennaio 2006 e STF 9C_184/2015 dell8 maggio 2015; STF 9C_43/2020 del 13 ottobre 2020; STCA 39.2015.6 del 7 ottobre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