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42.2020.38 vom 8. Februar 2021</w:t>
      </w:r>
    </w:p>
    <w:p>
      <w:r>
        <w:t>TI Tribunale d'appello, 2021-02-08, IT</w:t>
      </w:r>
    </w:p>
    <w:p>
      <w:r>
        <w:rPr>
          <w:b/>
        </w:rPr>
        <w:t xml:space="preserve">Quelle: </w:t>
      </w:r>
      <w:r>
        <w:t>https://mcp.opencaselaw.ch/entscheid/ti_gerichte_42.2020.38</w:t>
      </w:r>
    </w:p>
    <w:p>
      <w:r>
        <w:t>FR: TI_GERICHTE 42.2020.38 du 8 février 2021</w:t>
      </w:r>
    </w:p>
    <w:p>
      <w:r>
        <w:t>IT: TI_GERICHTE 42.2020.38 del 8 febbraio 2021</w:t>
      </w:r>
    </w:p>
    <w:p>
      <w:pPr>
        <w:pStyle w:val="Heading2"/>
      </w:pPr>
      <w:r>
        <w:t>Erwägungen</w:t>
      </w:r>
    </w:p>
    <w:p>
      <w:r>
        <w:rPr>
          <w:b/>
        </w:rPr>
        <w:t>E. 22</w:t>
      </w:r>
    </w:p>
    <w:p>
      <w:r>
        <w:t>dicembre 2000; STFA I 623/98 del 26 ottobre 1999. Vedi pure: STF 9C_807/2014 del 9 settembre 2015; STF 9C_585/2014 dell8 settembre 2015).</w:t>
      </w:r>
    </w:p>
    <w:p>
      <w:r>
        <w:t>nel merito</w:t>
      </w:r>
    </w:p>
    <w:p>
      <w:r>
        <w:t>2.2.   Lintervento della pubblica assistenza è regolato nel Cantone Ticino dalla Legge sullassistenza sociale dell8 marzo 1971 (Las).</w:t>
      </w:r>
    </w:p>
    <w:p>
      <w:r>
        <w:t>Tale normativa è stata oggetto di modifiche che sono state adottate dal Gran Consiglio il 3 dicembre 2002 (cfr. FU 99/2002 del 10 dicembre 2002 pag. 8289 segg.) e sono entrate in vigore il 1° febbraio 2003.</w:t>
      </w:r>
    </w:p>
    <w:p>
      <w:r>
        <w:t>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w:t>
      </w:r>
    </w:p>
    <w:p>
      <w:r>
        <w:t>Il 1° ottobre 2006 sono, peraltro, entrate in vigore alcune ulteriori modifiche della Las e della Laps (cfr. BU 44/2006 del 29 settembre 2006 pag. 385-386; BU 40/2006 del 8 settembre 2006 pag. 313-317).</w:t>
      </w:r>
    </w:p>
    <w:p>
      <w:r>
        <w:t>2.3.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 3 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L'art. 20 Las definisce, invece, le prestazioni speciali:</w:t>
      </w:r>
    </w:p>
    <w:p>
      <w:r>
        <w:t>"Le prestazioni speciali sono destinate a coprire dei bisogni particolari, quali ad esempio:</w:t>
      </w:r>
    </w:p>
    <w:p>
      <w:r>
        <w:t>a) spese di formazione;</w:t>
      </w:r>
    </w:p>
    <w:p>
      <w:r>
        <w:t>b) franchigie, partecipazioni, spese dentarie e spese straordinarie dovute a malattia o handicap;</w:t>
      </w:r>
    </w:p>
    <w:p>
      <w:r>
        <w:t>c) determinate assicurazioni;</w:t>
      </w:r>
    </w:p>
    <w:p>
      <w:r>
        <w:t>d) misure che favoriscono lintegrazione sociale e linserimento professionale;</w:t>
      </w:r>
    </w:p>
    <w:p>
      <w:r>
        <w:t>e) spese di collocamento diurno di figli minorenni;</w:t>
      </w:r>
    </w:p>
    <w:p>
      <w:r>
        <w:t>f) spese di collocamento in istituto;</w:t>
      </w:r>
    </w:p>
    <w:p>
      <w:r>
        <w:t>g) spese di sepoltura. (cpv. 1)</w:t>
      </w:r>
    </w:p>
    <w:p>
      <w:r>
        <w:t>Possono inoltre essere concesse prestazioni speciali per fare fronte per un periodo limitato a spese vincolate o per lalloggio superiori ai limiti previsti dallart. 22. (cpv. 2)</w:t>
      </w:r>
    </w:p>
    <w:p>
      <w:r>
        <w:t>Le prestazioni speciali possono essere cumulate alle prestazioni ordinarie, o essere indipendenti quando le risorse del beneficiario raggiungono o superano la soglia dintervento ma non coprono il bisogno specifico cui esse sono destinate. (cpv. 3).</w:t>
      </w:r>
    </w:p>
    <w:p>
      <w:r>
        <w:t>A titolo di prestito da rimborsare possono essere versate in particolare: il deposito di garanzia relativo alla locazione, gli arretrati di pigioni o di spese di elettricità o di premi partecipazioni e franchigie nellambito della Legge federale sullassicurazione malattie (LAMal) del 18 marzo 1994. (cpv. 4)."</w:t>
      </w:r>
    </w:p>
    <w:p>
      <w:r>
        <w:t>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anche quando il reddito disponibile supera di poco la soglia dintervento (cfr. Messaggio n. 5250 dell8 maggio 2002, pag. 4; STCA 42.2004.3 del 17 maggio 2005, pubblicata in RtiD II-2005 N. 14 pag. 59 segg.).</w:t>
      </w:r>
    </w:p>
    <w:p>
      <w:r>
        <w:t>Tale disposto legale al cpv. 1 prevede un elenco di prestazioni. Questo elenco non è, tuttavia, esaustivo.</w:t>
      </w:r>
    </w:p>
    <w:p>
      <w:r>
        <w:t>In effetti la lista di prestazioni menzionata è preceduta daad esempio,il che significa che la stessa non è completa, bensì soltanto esemplificativa.</w:t>
      </w:r>
    </w:p>
    <w:p>
      <w:r>
        <w:t>Esse, pertanto, di principio possono essere assunte dallUSSI tramite lerogazione - ai beneficiari di prestazioni assistenziali ordinarie o a coloro il cui reddito disponibile supera di poco la soglia dintervento (cfr. art. 20 cpv. 3 Las; consid. 2.3.) - di una prestazione assistenziale speciale.</w:t>
      </w:r>
    </w:p>
    <w:p>
      <w:r>
        <w:t>Le direttive COSAS al p.to C.1.4 valido dal dicembre 2016, relativo alle spese per cure dentarie, enunciano che:</w:t>
      </w:r>
    </w:p>
    <w:p>
      <w:r>
        <w:t>Sulla portata delle direttive amministrative, cfr.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2.7.   Con l'emanazione del presente giudizio la richiesta di sospensione della causa formulata dallinsorgente (cfr. doc. V) diviene priva d'oggetto (cfr. STF 9C_679/2009 del 3 maggio 2010 consid. 8; STCA 38.2014.24 del 28 maggio 2014 consid. 2.2.; STCA 42.2013.2 del 24 febbraio 2014 consid. 2.1.; STCA 38.2013.41 del 12 settembre 2013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