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42.2020.25 vom 8. März 2021</w:t>
      </w:r>
    </w:p>
    <w:p>
      <w:r>
        <w:t>TI Tribunale d'appello, 2021-03-08, IT</w:t>
      </w:r>
    </w:p>
    <w:p>
      <w:r>
        <w:rPr>
          <w:b/>
        </w:rPr>
        <w:t xml:space="preserve">Quelle: </w:t>
      </w:r>
      <w:r>
        <w:t>https://mcp.opencaselaw.ch/entscheid/ti_gerichte_42.2020.25</w:t>
      </w:r>
    </w:p>
    <w:p>
      <w:r>
        <w:t>FR: TI_GERICHTE 42.2020.25 du 8 mars 2021</w:t>
      </w:r>
    </w:p>
    <w:p>
      <w:r>
        <w:t>IT: TI_GERICHTE 42.2020.25 del 8 marzo 2021</w:t>
      </w:r>
    </w:p>
    <w:p>
      <w:pPr>
        <w:pStyle w:val="Heading2"/>
      </w:pPr>
      <w:r>
        <w:t>Regeste</w:t>
      </w:r>
    </w:p>
    <w:p>
      <w:r>
        <w:t>Rettamente negato IPG Corona. Domicilio CH, attività dip. in CH / indip. in Italia. Reddito determinante su cui sono stati fissati contrib. d'acconto x '18, '19 e 1° trimestre 20 = fr.95'000 (&gt; limite max per casi di rigore di fr.90'000). Da decisione tassz. '18 emerge del resto reddito fr.91'446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della legge federale del 19 giugno 1959 sull’assicurazione per l’invalidità (LAI) e all’articolo 27 capoverso 2 della legge del 25 settembre 1952 sulle indennità di perdita di guadagno. A tal fine il reddito comunicato è calcolato al 100 per cento in base ai tassi di contribuzione applicabili”) su tale importo. Infine, fino ad oggi, non è stata prodotta nessuna decisione relativa all’importo definitivo dei contributi AVS dovuti per il 2019 (cfr. art. 5 cpv. 2 dell’Ordinanza COVID-19 perdita di guadagno e consid. 2.2 e 2.3 e STCA 42.2020.36 dell’8 marzo 2021 riprodotta al consid. 2.6.). Secondo il TCA, a ragione la Cassa ha dunque respinto la richiesta dell’assicurata in quanto il suo reddito determinato sulla base dei contributi d’acconto del 2019 è superiore rispetto al limite massimo per i casi di rigore fissato in fr. 90'000.--.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