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42.2019.29 vom 4. April 2019</w:t>
      </w:r>
    </w:p>
    <w:p>
      <w:r>
        <w:t>TI Tribunale d'appello, 2019-04-04, IT</w:t>
      </w:r>
    </w:p>
    <w:p>
      <w:r>
        <w:rPr>
          <w:b/>
        </w:rPr>
        <w:t xml:space="preserve">Quelle: </w:t>
      </w:r>
      <w:r>
        <w:t>https://mcp.opencaselaw.ch/entscheid/ti_gerichte_42.2019.29_d20190404</w:t>
      </w:r>
    </w:p>
    <w:p>
      <w:r>
        <w:t>FR: TI_GERICHTE 42.2019.29 du 4 avril 2019</w:t>
      </w:r>
    </w:p>
    <w:p>
      <w:r>
        <w:t>IT: TI_GERICHTE 42.2019.29 del 4 aprile 2019</w:t>
      </w:r>
    </w:p>
    <w:p>
      <w:pPr>
        <w:pStyle w:val="Heading2"/>
      </w:pPr>
      <w:r>
        <w:t>Regeste</w:t>
      </w:r>
    </w:p>
    <w:p>
      <w:r>
        <w:t>Contestato il termine di 3 mesi stabilito con la dec.su reclamo per liquidare la propr.immob.all'estero.In questi 3 mesi l'immobile non è computato nel calcolo, per cui la ric.ha dt all'AS.La quest.relativa a un interesse legittimo a ricorrere può restare aperta.Il ric.va c.que respinto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dicembre 2000; STFA I 623/98 del 26 ottobre 1999. Vedi pure: STF 9C_807/2014 del 9 settembre 2015; STF 9C_585/2014 dell8 settembre 2015).</w:t>
      </w:r>
    </w:p>
    <w:p>
      <w:r>
        <w:t>Di conseguenza, se non è (ancora) stata emessa una decisione su reclamo e a maggior ragione se non è (ancora) stata emanata una decisione formale, manca l'oggetto impugnato e quindi un presupposto processuale (cfr. STF 8C_16/2010 del 3 maggio 2010 consid. 1.1.; DTF 134 V 418 consid. 5.2.1.;DTF 131 V 164consid. 2.1 pag. 164 e seg.;125 V 413consid. 1a pag. 414 con riferimenti; cfr. pure sentenza 8C_549/2007 del 30 maggio 2008 consid. 4).</w:t>
      </w:r>
    </w:p>
    <w:p>
      <w:r>
        <w:t>nel merito</w:t>
      </w:r>
    </w:p>
    <w:p>
      <w:r>
        <w:t>Al riguardo giova osservare che ai sensi dellart. 59 LPGA, applicabile nel caso di specie in virtù degli art.65 Las e 33 cpv. 3 Laps,ha diritto di ricorrere chiunque è toccato dalla decisione o dalla decisione su opposizione e ha un interesse degno di protezione al suo annullamento o alla sua modificazione (cfr. STF 9C_499/2012 del 27 maggio 2013 consid. 2.1.; STCA 42.2018.34 del 9 gennaio 2019 consid. 2.2. e 2.4.).</w:t>
      </w:r>
    </w:p>
    <w:p>
      <w:r>
        <w:t>2.4.   In relazione alla proprietà di sostanza immobiliare va rilevato che nellambito dellassistenza sociale vige il principio della sussidiarietà di cui agli art. 2 Las e 13 Laps.</w:t>
      </w:r>
    </w:p>
    <w:p>
      <w:r>
        <w:t>Da tale principio risulta che lerogazione di prestazioni assistenziali viene riconosciuta soltanto qualora un richiedente non sia in grado di provvedere alle proprie necessità tramite sforzo personale oppure prestazioni a cui sono tenuti dei terzi o, ancora, mediante prestazioni volontarie da parte di terzi (cfr. STF 8C_100/2017 del 14 giugno 2017 consid. 8.1.; STFA K 22/04 del 22 ottobre 2004 consid. 2.3.1., pubblicata in RAMI 2005 pag. 30, DTF 137 V 143 consid.3.7.1.; Disposizioni COSAS del 2005, aggiornate nel dicembre 2007, p.to A.4; C. Hänzi, Die Richtlinien der schweizerischen Konferenz für Sozialhilfe", Ed. Helbing Lichtenhahn, Basilea 2011 pag. 171-172; 114-115).</w:t>
      </w:r>
    </w:p>
    <w:p>
      <w:r>
        <w:t>Inoltre ai sensi dellart. 22 lett. a cfr. 2 della Legge sullassistenza sociale (Las) che regola lintervento della pubblica assistenza nel Cantone Ticinola sostanzanettaviene computata interamente nella misura in cui supera 100000 fr. per labitazione primaria e, per le altre forme di sostanza, 10000 fr. per una persona sola, 20000 per una coppia (coniugi o conviventi con figli in comune) e 2000 fr. per ogni figlio minorenne o maggiorenne non economicamente indipendente;eccezioni transitoriea questo computo possono essere concesse in casi di rigore, segnatamente se la sostanza computabile nel reddito fosse difficilmente liquidabile.</w:t>
      </w:r>
    </w:p>
    <w:p>
      <w:r>
        <w:t>Lart. 41 cpv. 1 Legge tributaria (LT), a cui fa riferimento la Laps alla quale la Las rinvia, enuncia che sono imponibili tutti gli attivi mobiliari e immobiliari.</w:t>
      </w:r>
    </w:p>
    <w:p>
      <w:r>
        <w:t>Ledisposizioni della Conferenza svizzera dellazione sociale - COSAS del dicembre 2008 al punto E.2.2 relativo alla sostanza immobiliare sottolineano, peraltro, che:</w:t>
      </w:r>
    </w:p>
    <w:p>
      <w:r>
        <w:t>"Non esiste, per principio, il diritto a conservare una sostanza immobiliare.</w:t>
      </w:r>
    </w:p>
    <w:p>
      <w:r>
        <w:t>I beni immobiliari (in particolare gli stabili e le parti di comproprietà) in possesso di un beneficiario sono considerati quali risorse private del medesimo. I proprietari di beni immobiliari non devono essere soggetti a un trattamento diverso rispetto ai detentori di risparmi o titoli.</w:t>
      </w:r>
    </w:p>
    <w:p>
      <w:r>
        <w:t>Per quanto concerne invece uno stabile occupato dal beneficiario stesso, si rinuncerà ad esigerne la vendita, qualora le condizioni per mantenere tale alloggio dovessero essere equivalenti o più favorevoli di quelle di mercato (v. capitolo B.3).</w:t>
      </w:r>
    </w:p>
    <w:p>
      <w:r>
        <w:t>Nei casi in cui la prestazione di sostegno sociale fosse poco rilevante, o se lintervento rappresenta un contributo solo momentaneo, o se il rica­vato dalla vendita del bene fosse troppo esiguo e così via, lautorità del sostegno sociale potrà ugualmente rinunciare a esigere la liquidazione del bene immobile.</w:t>
      </w:r>
    </w:p>
    <w:p>
      <w:r>
        <w:t>I beni immobiliari situati allestero sono da considerare, per principio, come quelli che si trovano in Svizzera.</w:t>
      </w:r>
    </w:p>
    <w:p>
      <w:r>
        <w:t>Se lautorità competente giudica opportuno che il beneficiario possa conservare limmobile, si tratterà discrivere unipoteca legale esigibile al momento dellalienazione dellimmobile o del decesso del beneficiario.</w:t>
      </w:r>
    </w:p>
    <w:p>
      <w:r>
        <w:t>Riguardo alla funzione delle disposizioni COSAS e al principio di sussidiarietà cfr., in dottrina, C. Hänzi, Die Richtlinien der schweizerischen Konferenz für Sozialhilfe". Ed. Helbing Lichtenhahn, Basilea 2011, pag. 171-172 e 114-115.</w:t>
      </w:r>
    </w:p>
    <w:p>
      <w:r>
        <w:t>Per quanto concerne linesistenza, per principio, di un diritto a conservare una sostanza immobiliare cfr. STCA 42.2019.17 del 15 maggio 2019; STCA 42.2009.19 dell8 giugno 2010, massimata in RtiD I-2011 N. 12 pag. 50; STCA 42.2012.9 del</w:t>
      </w:r>
    </w:p>
    <w:p>
      <w:r>
        <w:rPr>
          <w:b/>
        </w:rPr>
        <w:t>E. 24</w:t>
      </w:r>
    </w:p>
    <w:p>
      <w:r>
        <w:t>ottobre 2012; STCA 42.2015.28 del 29 febbraio 2016; STCA 42.2015.10 del 16 marzo 2016.</w:t>
      </w:r>
    </w:p>
    <w:p>
      <w:r>
        <w:t>Ne consegue che la sostanza immobiliare situata in Svizzera o allestero deve essere, in virtù dellart. 22 lett. a cfr. 2 Las e del principio di sussidiarietà, considerata al fine del calcolo delle prestazioni assistenziali. Solo eccezionalmente e a titolo transitorio, come previsto dalla legge stessa, possono essere concesse delle deroghe a tale computo, allorché si tratti di sostanza difficilmente liquidabile.</w:t>
      </w:r>
    </w:p>
    <w:p>
      <w:r>
        <w:t>In casu, pertanto, iltermine di tre mesifissato dalla parte resistente in cui non ha considerato la proprietà fondiaria in Brasile dellinsorgente trova fondamento nellart. 22 letta cfr. 2 Las che contempla proprio che leccezione al conteggio della sostanza immobiliare sia transitorio (per un caso in cui lUSSI ha fissato un termine transitorio di sei mesi cfr. STCA 42.2017.52 del 15 marzo 2018).</w:t>
      </w:r>
    </w:p>
    <w:p>
      <w:r>
        <w:t>Daltronde lamministrazione, confrontata con una richiesta di rinnovo dellassistenza sociale, ha la facoltà di esaminare se siano oppure no ossequiati i presupposti per nuovamente applicare unaderoga transitoriaal principio del computo della proprietà fondiaria ai fini della determinazione del diritto a una prestazione assistenziale (cfr. consid. 2.2.).</w:t>
      </w:r>
    </w:p>
    <w:p>
      <w:r>
        <w:t>Al riguardo è in ogni caso utile ricordare che lart. 33 Las prevede lobbligo di rimborso delle prestazioni assistenziali corrisposte a maggiorenni, segnatamente in caso di acquisizione di una sostanza rilevante.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