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42.2019.27 vom 11. November 2019</w:t>
      </w:r>
    </w:p>
    <w:p>
      <w:r>
        <w:t>TI Tribunale d'appello, 2019-11-11, IT</w:t>
      </w:r>
    </w:p>
    <w:p>
      <w:r>
        <w:rPr>
          <w:b/>
        </w:rPr>
        <w:t xml:space="preserve">Quelle: </w:t>
      </w:r>
      <w:r>
        <w:t>https://mcp.opencaselaw.ch/entscheid/ti_gerichte_42.2019.27</w:t>
      </w:r>
    </w:p>
    <w:p>
      <w:r>
        <w:t>FR: TI_GERICHTE 42.2019.27 du 11 novembre 2019</w:t>
      </w:r>
    </w:p>
    <w:p>
      <w:r>
        <w:t>IT: TI_GERICHTE 42.2019.27 del 11 novembre 2019</w:t>
      </w:r>
    </w:p>
    <w:p>
      <w:pPr>
        <w:pStyle w:val="Heading2"/>
      </w:pPr>
      <w:r>
        <w:t>Erwägungen</w:t>
      </w:r>
    </w:p>
    <w:p>
      <w:r>
        <w:rPr>
          <w:b/>
        </w:rPr>
        <w:t>E. 22</w:t>
      </w:r>
    </w:p>
    <w:p>
      <w:r>
        <w:t>dicembre 2000; STFA I 623/98 del 26 ottobre 1999. Vedi pure: STF 9C_807/2014 del 9 settembre 2015; STF 9C_585/2014 dell8 settembre 2015).</w:t>
      </w:r>
    </w:p>
    <w:p>
      <w:r>
        <w:t>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STF 8C_754/2018 del 7 marzo 2019 consid. 6.2.; STF 9C_603/2015 del 15 aprile 2016 consid. 5.1.; DTF 141 V 557 consid. 3.2.1.; STF 9C_112/2010 del 15 febbraio 2011 consid. 3.2.).</w:t>
      </w:r>
    </w:p>
    <w:p>
      <w:r>
        <w:t>Nella presente fattispecie, alla luce dei principi giurisprudenziali appena esposti, questa Corte non ravvisa delle lacune dal profilo della motivazione della decisione su reclamo del 5 luglio 2019 (cfr. consid. 1.1.), atteso che da questa emergono chiaramente i motivi per cui lUSSI ha negato alla ricorrente lassunzione della spesa per il premio Swisscaution 2019, ossia perché lo stesso può essere concesso solo come prestito da rimborsare, ciò che la medesima ha rifiutato (cfr. doc. A).</w:t>
      </w:r>
    </w:p>
    <w:p>
      <w:r>
        <w:t>Del resto linsorgente ha potuto rendersi conto della portata della decisione su reclamo in questione, visto che lha impugnata dinanzi a questo Tribunale.</w:t>
      </w:r>
    </w:p>
    <w:p>
      <w:r>
        <w:t>La censura sollevata dalla ricorrente non risulta, dunque, fondata.</w:t>
      </w:r>
    </w:p>
    <w:p>
      <w:r>
        <w:t>Tale normativa è stata oggetto di modifiche che sono state adottate dal Gran Consiglio il 3 dicembre 2002 (cfr. FU 99/2002 del 10 dicembre 2002 pag. 8289 segg.) e sono entrate in vigore il 1° febbraio 2003.</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2.5.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2.6.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Per lanno 2016 leDirettive riguardanti gli importi delle prestazioni assistenziali prevedono i seguenti forfait di mantenimento:</w:t>
      </w:r>
    </w:p>
    <w:p>
      <w:r>
        <w:t>"Persone dellunità di riferimento - Forfait globale per il mantenimento</w:t>
      </w:r>
    </w:p>
    <w:p>
      <w:r>
        <w:t>(raccomandato dalla COSAS)</w:t>
      </w:r>
    </w:p>
    <w:p>
      <w:r>
        <w:t>(CHF/mese)</w:t>
      </w:r>
    </w:p>
    <w:p>
      <w:r>
        <w:t>1 persona 986.--</w:t>
      </w:r>
    </w:p>
    <w:p>
      <w:r>
        <w:t>2 persone                                          1'509.--</w:t>
      </w:r>
    </w:p>
    <w:p>
      <w:r>
        <w:t>3 persone                                          1'834.--</w:t>
      </w:r>
    </w:p>
    <w:p>
      <w:r>
        <w:t>4 persone                                          2'110.--</w:t>
      </w:r>
    </w:p>
    <w:p>
      <w:r>
        <w:t>5 persone                                          2'386.--</w:t>
      </w:r>
    </w:p>
    <w:p>
      <w:r>
        <w:t>Per ogni persona                              + 200.--</w:t>
      </w:r>
    </w:p>
    <w:p>
      <w:r>
        <w:t>supplementare</w:t>
      </w:r>
    </w:p>
    <w:p>
      <w:r>
        <w:t>1.1 Supplemento per unità di riferimento di 3 o più persone di 16 anni o più</w:t>
      </w:r>
    </w:p>
    <w:p>
      <w:r>
        <w:t>Per unità di riferimento con più di due persone di almeno 16 anni compiuti, gli importi di cui sopra sono integrati da un supplemento, assegnato allunità di riferimento, corrispondente a CHF 200. mensili.</w:t>
      </w:r>
    </w:p>
    <w:p>
      <w:r>
        <w:t>1.2 Supplemento di integrazione</w:t>
      </w:r>
    </w:p>
    <w:p>
      <w:r>
        <w:t>a.Inserimento sociale</w:t>
      </w:r>
    </w:p>
    <w:p>
      <w:r>
        <w:t>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w:t>
      </w:r>
    </w:p>
    <w:p>
      <w:r>
        <w:t>Durante la durata dellAUP viene accordato un supplemento di integrazione di CHF 300. al mese.</w:t>
      </w:r>
    </w:p>
    <w:p>
      <w:r>
        <w:t>b. Inserimento professionale</w:t>
      </w:r>
    </w:p>
    <w:p>
      <w:r>
        <w:t>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w:t>
      </w:r>
    </w:p>
    <w:p>
      <w:r>
        <w:t>(cfr. BU 58/2015 del 29 dicembre 2015 pag. 583 segg.)</w:t>
      </w:r>
    </w:p>
    <w:p>
      <w:r>
        <w:t>Il p.to 1.3. delle Direttive per lanno 2016 enuncia, inoltre, che per i giovani adulti che vivono con i propri genitori è riconosciuto un forfait mensile di fr. 600.--.</w:t>
      </w:r>
    </w:p>
    <w:p>
      <w:r>
        <w:t>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w:t>
      </w:r>
    </w:p>
    <w:p>
      <w:r>
        <w:t>Per lanno 2019 è utile rilevare che gli importi delforfait di mantenimentosono aumentati come segue:</w:t>
      </w:r>
    </w:p>
    <w:p>
      <w:r>
        <w:t>"Persone dellunità di riferimento - Forfait globale per il mantenimento</w:t>
      </w:r>
    </w:p>
    <w:p>
      <w:r>
        <w:t>(raccomandato dalla COSAS)</w:t>
      </w:r>
    </w:p>
    <w:p>
      <w:r>
        <w:t>(CHF/mese)</w:t>
      </w:r>
    </w:p>
    <w:p>
      <w:r>
        <w:t>1 persona 995.--</w:t>
      </w:r>
    </w:p>
    <w:p>
      <w:r>
        <w:t>2 persone                                          1'523.--</w:t>
      </w:r>
    </w:p>
    <w:p>
      <w:r>
        <w:t>3 persone                                          1'851.--</w:t>
      </w:r>
    </w:p>
    <w:p>
      <w:r>
        <w:t>4 persone                                          2'129.--</w:t>
      </w:r>
    </w:p>
    <w:p>
      <w:r>
        <w:t>5 persone                                          2'407.--</w:t>
      </w:r>
    </w:p>
    <w:p>
      <w:r>
        <w:t>Per ogni persona                              + 202.--</w:t>
      </w:r>
    </w:p>
    <w:p>
      <w:r>
        <w:t>supplementare</w:t>
      </w:r>
    </w:p>
    <w:p>
      <w:r>
        <w:t>(cfr. Direttive riguardanti gli importi delle prestazioni assistenziali prevedono per il 2019, in BU 58/2018 del 28 dicembre 2018 pag. 478-479)</w:t>
      </w:r>
    </w:p>
    <w:p>
      <w:r>
        <w:t>2.7.   L'art. 20 Las definisce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Va osservato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w:t>
      </w:r>
    </w:p>
    <w:p>
      <w:r>
        <w:t>In proposito nel Messaggio del 15 ottobre 2012 n. 6697 relativo alPreventivo 2013 (mod. L. tributaria - mod. LAPS - mod. LOC - mod. LACD - mod. LAS - DL contributo straordinario dipendenti, magistrati e CdS - DL partecipazione finanziaria comunale al risanamento finanziario del Cantone 2013 - DL urgente programma di risanamento finanziario, Roadmap 2013-2014)al p.to 2.3. è stato indicato:</w:t>
      </w:r>
    </w:p>
    <w:p>
      <w:r>
        <w:t>"()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w:t>
      </w:r>
    </w:p>
    <w:p>
      <w:r>
        <w:t>Questa modifica legale non comporta cambiamenti né di prassi né ha effetti sulla spesa.</w:t>
      </w:r>
    </w:p>
    <w:p>
      <w:r>
        <w:t>Essa sancisce di fatto nella Legge sullassistenza sociale (Las) la prassi già in vigore dal 2005 presso lUfficio del sostegno sociale e inserimento e permette di garantire il rispetto dei principi di legalità e parità di trattamento. ()</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Al riguardo questo Tribunale ritiene utile rilevare che nella STCA 42.2018.48-49 del 29 aprile 2019 consid. 2.5. (il cui ricorso interposto dalla ricorrente personalmenteal TF è stato ritenuto inammissibile con giudizio 8C_382/2019 del 6 giugno 2019 e con la quale è stato confermato il rifiuto da parte dellassistenza sociale di assumere limporto di fr. 231.-- per Swisscaution in relazione al contratto di locazione del maggio 2018 con oggetto lappartamento di __________ in __________, poiché già versato direttamente dalla ricorrente) e nella STCA 42.2019.15-16 del 10 luglio 2019 cresciuta in giudicato incontestata (con cui è stato avallato il modo di procedere dellUSSI che per far fronte alla garanzia - tramite Swisscaution - del contratto di locazione del settembre 2018 relativo allappartamento di __________ in __________ è stato concesso allinsorgente un importo di fr. 231.-- quale prestito da rimborsare) è stato indicato cheSwisscaution SA consente di fornire al locatore una garanzia daffitto senza deposito bancario.</w:t>
      </w:r>
    </w:p>
    <w:p>
      <w:r>
        <w:t>Al momento delliscrizione il locatario versa a Swisscaution un premio forfetario di fr. 231.- valido fino al 31 dicembre dellanno in corso e per gli anni successivi si impegna a corrispondere un premio annuale corrispondente al 5% dellimporto della garanzia daffitto (prevista nel contratto di locazione) più le spese di gestione di fr. 20.-- (cfr. www.swisscaution.ch).</w:t>
      </w:r>
    </w:p>
    <w:p>
      <w:r>
        <w:t>Inoltre lart. 20 cpv. 4 Las, già citato sopra, prevede che a titolo diprestito da rimborsarepossono essere versati, in particolare, il deposito di garanzia relativo alla locazione, gli arretrati di pigioni o di spese di elettricità o di premi partecipazioni e franchigie nellambito della Legge federale sullassicurazione malattie (LAMal) del 18 marzo 1994 (cfr. consid. 2.7.).</w:t>
      </w:r>
    </w:p>
    <w:p>
      <w:r>
        <w:t>Le Direttive riguardanti gli importi delle prestazioni assistenziali per il 2018 del 16 marzo 2018 emesse dal Dipartimento della sanità e della socialità del Cantone Ticino (cfr. BU 14/2018 del 23 marzo 2018 pag. 102 segg.) dal canto loro enunciano che:</w:t>
      </w:r>
    </w:p>
    <w:p>
      <w:r>
        <w:t>"3.2 Prestazioni speciali relative allalloggio</w:t>
      </w:r>
    </w:p>
    <w:p>
      <w:r>
        <w:t>In generale:</w:t>
      </w:r>
    </w:p>
    <w:p>
      <w:r>
        <w:t>Il trasferimento in un nuovo appartamento genera dei costi supplementari, legati ad esempio al trasloco e al deposito di garanzia. Per questo motivo, il beneficiario che intende trasferirsi in un nuovo appartamento deve previamente informare lUSSI, precisando i motivi del cambiamento, la pigione prevista nel nuovo appartamento, limporto previsto quale deposito di garanzia e leventuale costo del trasloco. Per questi costi, così come per i costi relativi allacquisto di mobilio, la presa a carico da parte dellUSSI è possibile solo se preventivamente richiesta, motivata e documentata allUSSI e se tale spesa è determinata da:</w:t>
      </w:r>
    </w:p>
    <w:p>
      <w:r>
        <w:t>una comprovata necessità, segnatamente per la nascita di un figlio, linizio di unattività lavorativa o formazione al fine di ridurre costi di trasferta e di doppia economia domestica oppure;</w:t>
      </w:r>
    </w:p>
    <w:p>
      <w:r>
        <w:t>una riduzione dei costi della pigione rispetto al precedente appartamento oppure;</w:t>
      </w:r>
    </w:p>
    <w:p>
      <w:r>
        <w:t>altri motivi comprovati, segnatamente uno sfratto già esecutivo se non sono possibili soluzioni alternative.</w:t>
      </w:r>
    </w:p>
    <w:p>
      <w:r>
        <w:t>Le prestazioni per lalloggio sono inoltre riconosciute entro i seguenti limiti temporali e di spesa:</w:t>
      </w:r>
    </w:p>
    <w:p>
      <w:r>
        <w:t>a. Deposito di garanzia per appartamento</w:t>
      </w:r>
    </w:p>
    <w:p>
      <w:r>
        <w:t>Di principio il deposito di garanzia sarà riconosciuto dallUSSI unicamente nel caso in cui non vi sia già un precedente deposito di garanzia. Inoltre qualora il beneficiario di prestazioni assistenziali non avesse un deposito di garanzia o il capitale a sua disposizione non fosse sufficiente per coprire il nuovo importo richiesto, egli dovrà preventivamente attivarsi per la verifica di possibili soluzioni, segnatamente negoziando con il locatore delle riduzioni o facendo capo ad altre soluzioni alternative.</w:t>
      </w:r>
    </w:p>
    <w:p>
      <w:r>
        <w:t>La spesa per il deposito di garanzia è riconosciuta ogni 5 anni e se previamente autorizzata dallUSSI (vedi disposizioni generali). Il relativo importo è concesso a titolo di prestito da rimborsare (art. 20 cpv 4 Las). Il costo del deposito di garanzia è riconosciuto con i seguenti importi massimi:</w:t>
      </w:r>
    </w:p>
    <w:p>
      <w:r>
        <w:t>per unità di riferimento quale persona sola, fino ad un massimo di fr. 3300.;</w:t>
      </w:r>
    </w:p>
    <w:p>
      <w:r>
        <w:t>per unità di riferimento di due persone, fino ad un massimo di fr. 3750.;</w:t>
      </w:r>
    </w:p>
    <w:p>
      <w:r>
        <w:t>per unità di riferimento di tre o più persone, fino ad un massimo di fr. 4500. (La sottolineatura è del redattore)</w:t>
      </w:r>
    </w:p>
    <w:p>
      <w:r>
        <w:t>Per quanto concerne le prestazioni speciali relative allalloggio, le Direttive riguardanti gli importi delle prestazioni assistenziali per il 2019 del 21 dicembre 2018 (cfr. BU 58/2018 del 28 dicembre 2018 pag. 478 segg.) hanno il medesimo tenore di quelle per il 2018.</w:t>
      </w:r>
    </w:p>
    <w:p>
      <w:r>
        <w:t>Il TCA rileva, poi, che effettivamente ledirettive amministrative non costituiscono norme giuridiche e non sono vincolanti per il giudice delle assicurazioni sociali (cfr. 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però, tenerne conto per prendere la sua decisione nella misura in cui queste ultime permettono uninterpretazione delle disposizioni legali applicabili giustificata nel caso di specie (cfr. STF 8C_902/2017 del 12 giugno 2018 consid. 4.2., pubblicata in DTF 144 V 195; DTF 138 V 50 consid.4.1; DTF 132 V125 consid.4.4;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proposito cfr. STF 2C_105/2009 del 18 settembre 2009.</w:t>
      </w:r>
    </w:p>
    <w:p>
      <w:r>
        <w:t>Le Direttive riguardanti gli importi delle prestazioni assistenziali emanate dal DSS, in particolare in relazione a quanto previsto per il deposito di garanzia per appartamento, e meglio cheil relativo importo èconcesso a titolo di prestito da rimborsare,non sono contrarie alla legge (cfr. STCA 42.2019.15-16 del 10 luglio 2019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