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42.2019.25 vom 19. Februar 2020</w:t>
      </w:r>
    </w:p>
    <w:p>
      <w:r>
        <w:t>TI Tribunale d'appello, 2020-02-19, IT</w:t>
      </w:r>
    </w:p>
    <w:p>
      <w:r>
        <w:rPr>
          <w:b/>
        </w:rPr>
        <w:t xml:space="preserve">Quelle: </w:t>
      </w:r>
      <w:r>
        <w:t>https://mcp.opencaselaw.ch/entscheid/ti_gerichte_42.2019.25</w:t>
      </w:r>
    </w:p>
    <w:p>
      <w:r>
        <w:t>FR: TI_GERICHTE 42.2019.25 du 19 février 2020</w:t>
      </w:r>
    </w:p>
    <w:p>
      <w:r>
        <w:t>IT: TI_GERICHTE 42.2019.25 del 19 febbraio 2020</w:t>
      </w:r>
    </w:p>
    <w:p>
      <w:pPr>
        <w:pStyle w:val="Heading2"/>
      </w:pPr>
      <w:r>
        <w:t>Erwägungen</w:t>
      </w:r>
    </w:p>
    <w:p>
      <w:r>
        <w:rPr>
          <w:b/>
        </w:rPr>
        <w:t>E. 3</w:t>
      </w:r>
    </w:p>
    <w:p>
      <w:r>
        <w:t>cpv. 2 lett. a della Legge federale sull’assistenza (LAS) prevede dal canto suo che le prestazioni complementari all'assicurazione per la vecchiaia, i superstiti e l'invalidità non fanno parte delle prestazioni assistenziali (al riguardo cfr. pure STF 2C_750/2014 del 27 ottobre 2015, pubblicata in DTF 141 II 401; STF 2C_600/2014 del 27 ottobre 2015). Quanto, poi, fatto valere nel ricorso, ovvero che a seguito di problemi psichici l’insorgente non avrebbe appreso appieno quanto successo con il versamento dell’avere di libero passaggio (cfr. doc. I pag. 5), è ininfluente ai fini della richiesta di rimborso da parte dell’USSI. La stessa, infatti, è dipesa dalla circostanza oggettiva della corresponsione (il 20 giugno 2018) a favore della ricorrente della prestazione LPP richiesta dalla medesima, in prima battuta l’11 maggio 2018, tramite la rappresentante di allora, avv. __________ (cfr. doc. G; consid. 2.3.). Per quanto attiene all’asserzione secondo cui il denaro relativo al capitale di libero passaggio versato all’insorgente nel giugno 2018 sarebbe stato speso per far fronte a costi soprattutto connessi a cure mediche e a medicamenti (cfr. doc. I) - affermazione peraltro non comprovata -, va osservato, in primo luogo, che l’ordine di rimborso è stato emesso dall’amministrazione nel mese di novembre 2018. Da quel momento, perciò, la ricorrente era o avrebbe dovuto essere consapevole del fatto che, se il reclamo e gli eventuali ricorsi non avessero avuto esito a lei favorevole, avrebbe dovuto restituire la somma richiesta all’USSI. In secondo luogo, non risulta che la medesima abbia domandato alla Cassa di compensazione AVS/AI/IPG, che aveva conteggiato il capitale LPP, di rivedere la decisione concernente le prestazioni complementari. In esito alle considerazioni di cui sopra, la decisione su reclamo del 6 giugno 2019 impugnata deve, di conseguenza, essere confermata. 2.7. La ricorrente ha chiesto l’assistenza giudiziaria con il gratuito patrocinio dell’avv. RA 1 (cfr. doc. I pag. 7). Questa Corte rileva innanzitutto che la domanda dell’insorgente di assistenza giudiziaria deve essere intesa solo come richiesta di gratuito patrocinio, visto che la procedura davanti al TCA in materia di assistenza sociale è per principio gratuita (cfr. art. 29 cpv. 1 Lptca; 42.2019.21 del 18 settembre 2019 consid. 2.11.; STCA 42.2016.16 del 5 aprile 2017 consid. 2.11.). Secondo l’art. 28 cpv. 2 Lptca la disciplina della difesa d’ufficio e del gratuito patrocinio è retta dalla Legge sul patrocinio d’ufficio e sull’assistenza giudiziaria. L’art. 2 della Legge sull’assistenza giudiziaria e sul patrocinio d’ufficio (LAG) – del 15 maggio 2011, in vigore dal 1° gennaio 2011 (cfr. BU n.22/2011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STFA U 102/04 del 20 settembre 2004; STF 9C_673/2009 del 14 aprile 2010 consid. 7.2). Dalle carte processuali emerge che la ricorrente beneficia mensilmente di una rendita intera AI di fr. 1'481.--. (cfr. doc. F; Q) e di una prestazione complementare di fr. 1'152.--, oltre che della copertura del premio forfettario dell’assicurazione malattie di fr. 517.-- al mese (cfr. doc. P; Q), per complessivi fr. 3’150.--. Per quanto riguarda il calcolo del fabbisogno, all’insorgente deve essere applicato l’importo base mensile di fr. 1'200.--, stabilito per il calcolo del minimo esistenziale LEF dalla Camera di esecuzione e fallimento, quale Autorità di vigilanza cantonale e in vigore dal 1° settembre 2009, tuttora in uso. Tale importo comprende già le spese di sostentamento, abbigliamento, biancheria, igiene e salute, manutenzione delle apparecchiature e dell’arredamento domestico, assicurazioni private, cultura, così come le spese di elettricità e/o gas per la luce e la cucina (cfr. Tabella per il calcolo del minimo di esistenza agli effetti del diritto esecutivo del 1° settembre 2009; www.ti.ch/poteri/giudiziario/giustizia-civile/tabella -dei-minimi-desistenza). Al minimo esecutivo va aggiunto un supplemento al massimo del 15-25%, secondo la giurisprudenza citata. In casu , aggiungendo all’importo di base di fr. 1’200.-- il supplemento del 15-25% (25% corrisponde a fr. 300.-- e il 15% a fr. 180.--, cfr. su questo punto la STF 9C_89/2014 del 1° maggio 2014 nella quale il TF ha confermato l’importo di fr. 200.-- quale supplemento di procedura per una persona sola applicato dal Tribunale cantonale di Neuchâtel), si ottiene un fabbisogno che si situa tra i fr. 1'380.-- e i fr. 1’500.--. Va poi computata la pigione mensile di fr. 1’100.-- (doc. Q=68) e il premio di cassa malati di circa fr. 527.-- (cfr. doc. Q), per complessivi fr. 1'627.-- mensili. Le uscite mensili corrispondono dunque a fr. 3'007.-- se si tiene conto di un fabbisogno aumentato del 15% (fr. 1’380 + 1'627) e a fr. 3’127 se si considera un fabbisogno incrementato del 25% (fr. 1’500 + fr. 1'627). Ne discende che la situazione finanziaria dell’insorgente presenta un‘eccedenza di reddito che oscilla tra fr. 23.-- al mese (fr. 3’150 - fr. 3’127) e fr. 143.-- al mese (fr. 3'150 - fr. 3’007). In simili condizioni l’insorgente, ritenuto che in casu il capitale LPP (benché in linea di principio il medesimo prelevato dopo l'insorgere di un caso di assicurazione vada aggiunto al patrimonio di colui che chiede il gratuito patrocinio per la valutazione dell’indigenza; cfr. STF 4A_362/2018 del 5 ottobre 2018, pubblicata in DTF 144 III 531 e SVR 2019 BVG N. 13 pag. 49) lasciato a sua disposizione di fr. 25'000 costituisce una riserva di emergenza (cfr. STF 9C_147/2011 del 20 giugno 2011; STFA H 41/01 del 26 aprile 2001), può essere considerata indigente (al riguardo cfr. STFA C 62/00 del 25 settembre 2000 in cui nell’ambito dell’assicurazione contro la disoccupazione un assicurato che presentava un'eccedenza mensile di fr. 33.40, calcolata per una persona sola dopo avere apportato un supplemento sull'importo base LEF del 15%, è stato considerato indigente ). Visto che anche le altre due condizioni poste da legge e giurisprudenza appaiono adempiute, l'istanza tendente alla concessione del gratuito patrocinio va accolta riservato l'eventuale obbligo di rimborso, qualora la situazione economica della ricorrente dovesse più tardi migliorare (cfr. art. 6 LAG; relativamente al gratuito patrocinio nella procedura davanti al TF: cfr. art. 64 cpv. 4 LTF; art 152 cpv. 3 vOG; STF 9C_664/2013 del 15 gennaio 2014 consid. 6; STF 9C_916/2009 del 30 agosto 2010 consid. 10.2.; STF I 472/06 del 21 agosto 2007 consid. 7.2.).</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A proposito di questa disposizione legale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2.2.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 C. Hänzi (Die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È, inoltre, utile osservare che giusta lart. 6 cpv. 1 lett. a Laps, a cui rinvia lart. 22 Las, il reddito computabile è costituito, tra laltro, dai redditiai sensi degli art. 15-22 della Legge tributaria del 21 giugno 1994 (LT).</w:t>
      </w:r>
    </w:p>
    <w:p>
      <w:r>
        <w:t>Lart. 21 cpv. 1 e 2 LT prevede:</w:t>
      </w:r>
    </w:p>
    <w:p>
      <w:r>
        <w:t>"1Sono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w:t>
      </w:r>
    </w:p>
    <w:p>
      <w:r>
        <w:t>2I proventi dalla previdenza professionale comprendono segnatamente le prestazioni delle casse previdenziali, delle assicurazioni di risparmio e di gruppo, come anche le polizze di libero passaggio.</w:t>
      </w:r>
    </w:p>
    <w:p>
      <w:r>
        <w:t>Va poi rilevato che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2.6.   In concreto, come visto, a RI 1 è stata assegnata, nel mese di marzo 2018, una rendita intera AI a far tempo dallagosto 2017 di fr. 1'481.-- mensili e nellagosto 2018 una prestazione complementare dallagosto 2017 di fr. 868.-- al mese, dal gennaio 2018 di fr. 1'227.--, dal 1° giugno 2018 di fr. 1'149.-- e dal gennaio 2019di fr. 1'152.--. Oltre a tali importi, la Cassa di compensazione AVS/AI/IPG le ha riconosciuto il premio forfettario dellassicurazione malattie (cfr. consid. 2.3.).</w:t>
      </w:r>
    </w:p>
    <w:p>
      <w:r>
        <w:t>Inoltre tramite il versamento a suo favore, nel giugno 2018, del capitale LPP di fr. 70'793.50 (cfr. doc. J; 58; consid. 2.3.), linsorgente ha beneficiato di un aumento rilevante della propria sostanza mobiliare.</w:t>
      </w:r>
    </w:p>
    <w:p>
      <w:r>
        <w:t>Questultima ha daltronde lo scopo, contemplato nella Costituzione federale (cfr. art. 12 Cost.fed.), di evitare che ununità di riferimento cada nel bisogno, rispettivamente provvedere ad aiutare quanti siano già caduti nel bisogno, ossia coloro che non possono provvedere sufficientemente o tempestivamente con mezzi propri al sostentamento (cfr. art. 1 e 2 Legge federale sullassistenza, LAS; art. 1 Las; 22 Las; 5 Laps).</w:t>
      </w:r>
    </w:p>
    <w:p>
      <w:r>
        <w:t>Lassistenza sociale rappresenta lultima ancora di salvataggio cfr. STF 8C_100/2017 del 14 giugno 2017 consid. 8.1.; DTF 137 V 143; STF 8C_92/2007 del 14 dicembre 2007, pubblicata in DTF 134 I 65; SVR 2008 EL Nr. 2 pag. 5; STF 8C_5/2008 del 5 maggio 2008.</w:t>
      </w:r>
    </w:p>
    <w:p>
      <w:r>
        <w:t>Lart. 112a Cost.fed. enuncia, per contro, che la Confederazione e i Cantoni versano prestazioni complementari alle persone il cui fabbisogno vitale non è coperto dallassicurazione vecchiaia, superstiti e invalidità. Inoltre giusta lart. 1 LPC lo scopo delle PC è coprire il fabbisogno esistenziale.</w:t>
      </w:r>
    </w:p>
    <w:p>
      <w:r>
        <w:t>Le PC sono prestazioni di unassicurazione sociale e pertanto hanno la priorità rispetto alle prestazioni assistenziali (cfr. STF 9C_36/2014 del 7 aprile 2014 consid. 3.3.).</w:t>
      </w:r>
    </w:p>
    <w:p>
      <w:r>
        <w:t>Giusta lart. 11 cpv. 3 LPC, del resto, non rientrano fra i redditi computabili al fine della determinazione della prestazione complementare le prestazioni dell'aiuto pubblico sociale.</w:t>
      </w:r>
    </w:p>
    <w:p>
      <w:r>
        <w:t>Lart. 3 cpv. 2 lett. a della Legge federale sullassistenza (LAS) prevede dal canto suo chele prestazioni complementari all'assicurazione per la vecchiaia, i superstiti e l'invaliditànon fanno parte delle prestazioni assistenziali (al riguardo cfr. pure STF 2C_750/2014 del 27 ottobre 2015, pubblicata in DTF 141 II 401; STF 2C_600/2014 del 27 ottobre 2015).</w:t>
      </w:r>
    </w:p>
    <w:p>
      <w:r>
        <w:t>In esito alle considerazioni di cui sopra, la decisione su reclamo del 6 giugno 2019 impugnata deve, di conseguenza, essere confermata.</w:t>
      </w:r>
    </w:p>
    <w:p>
      <w:r>
        <w:t>Secondo lart. 28 cpv. 2 Lptca la disciplina della difesa dufficio e del gratuito patrocinio è retta dalla Legge sul patrocinio dufficio e sullassistenza giudiziaria.</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 STF 9C_673/2009 del 14 aprile 2010 consid. 7.2).</w:t>
      </w:r>
    </w:p>
    <w:p>
      <w:r>
        <w:t>Per quanto riguarda il calcolo del fabbisogno, allinsorgente deve essere applicato limporto base mensile di fr. 1'200.--, stabilito per il calcolo del minimo esistenziale LEF dalla Camera di esecuzione e fallimento, quale Autorità di vigilanza cantonale e in vigore dal 1° settembre 2009, tuttora in uso.</w:t>
      </w:r>
    </w:p>
    <w:p>
      <w:r>
        <w:t>Tale importo comprende già le spese di sostentamento, abbigliamento, biancheria, igiene e salute, manutenzione delle apparecchiature e dellarredamento domestico, assicurazioni private, cultura, così come le spese di elettricità e/o gas per la luce e la cucina (cfr. Tabella per il calcolo del minimo di esistenza agli effetti del diritto esecutivo del 1° settembre 2009;www.ti.ch/poteri/giudiziario/giustizia-civile/tabella-dei-minimi-desistenza).</w:t>
      </w:r>
    </w:p>
    <w:p>
      <w:r>
        <w:t>Al minimo esecutivo va aggiunto un supplemento al massimo del 15-25%, secondo la giurisprudenza citata.</w:t>
      </w:r>
    </w:p>
    <w:p>
      <w:r>
        <w:t>In casu, aggiungendo allimporto di base di fr. 1200.-- il supplemento del 15-25% (25% corrisponde a fr. 300.-- e il 15% a fr. 180.--, cfr. su questo punto la STF 9C_89/2014 del 1° maggio 2014 nella quale il TF ha confermato limporto di fr. 200.-- quale supplemento di procedura per una persona sola applicato dal Tribunale cantonale di Neuchâtel), si ottiene un fabbisogno che si situa tra i fr. 1'380.-- e i fr. 1500.--.</w:t>
      </w:r>
    </w:p>
    <w:p>
      <w:r>
        <w:t>Va poi computata la pigione mensile di fr. 1100.-- (doc. Q=68) e il premio di cassa malati di circa fr. 527.-- (cfr. doc. Q), per complessivi fr. 1'627.-- mensili.</w:t>
      </w:r>
    </w:p>
    <w:p>
      <w:r>
        <w:t>Le uscite mensili corrispondono dunque a fr. 3'007.-- se si tiene conto di un fabbisogno aumentato del 15% (fr. 1380 + 1'627) e a fr. 3127 se si considera un fabbisogno incrementato del 25% (fr. 1500 + fr. 1'627).</w:t>
      </w:r>
    </w:p>
    <w:p>
      <w:r>
        <w:t>Ne discende che la situazione finanziaria dellinsorgente presenta uneccedenza di reddito che oscilla tra fr. 23.-- al mese (fr. 3150 - fr. 3127) e fr. 143.-- al mese (fr. 3'150 - fr. 3007).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