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42.2018.34 vom 9. Januar 2019</w:t>
      </w:r>
    </w:p>
    <w:p>
      <w:r>
        <w:t>TI Tribunale d'appello, 2019-01-09, IT</w:t>
      </w:r>
    </w:p>
    <w:p>
      <w:r>
        <w:rPr>
          <w:b/>
        </w:rPr>
        <w:t xml:space="preserve">Quelle: </w:t>
      </w:r>
      <w:r>
        <w:t>https://mcp.opencaselaw.ch/entscheid/ti_gerichte_42.2018.34</w:t>
      </w:r>
    </w:p>
    <w:p>
      <w:r>
        <w:t>FR: TI_GERICHTE 42.2018.34 du 9 janvier 2019</w:t>
      </w:r>
    </w:p>
    <w:p>
      <w:r>
        <w:t>IT: TI_GERICHTE 42.2018.34 del 9 gennaio 2019</w:t>
      </w:r>
    </w:p>
    <w:p>
      <w:pPr>
        <w:pStyle w:val="Heading2"/>
      </w:pPr>
      <w:r>
        <w:t>Regeste</w:t>
      </w:r>
    </w:p>
    <w:p>
      <w:r>
        <w:t>2011-18: dedotti fr.100 (sanzione x mancata collaborazione). Decisione su recl. 7.9.18: annullata sanzione. Ricorso TCA: chiesto versamento di denaro corrispondente alle sanzioni. Irricevibile: non int. degno di protezione. Rich. versam. sanzioni esula da vertenza. USSI non obbligato a riconsiderare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dicembre 2000; STFA I 623/98 del 26 ottobre 1999. Vedi pure: STF 9C_807/2014 del 9 settembre 2015; STF 9C_585/2014 dell8 settembre 2015).</w:t>
      </w:r>
    </w:p>
    <w:p>
      <w:r>
        <w:t>Competente è il tribunale delle assicurazioni del Cantone dove lassicurato o il terzo è domiciliato nel momento in cui interpone ricorso (art. 58 cpv. 1 LPGA).</w:t>
      </w:r>
    </w:p>
    <w:p>
      <w:r>
        <w:t>Lart. 59 LPGA, relativo alla legittimazione ricorsuale, stabilisce che ha diritto di ricorrere chiunque è toccato dalla decisione o dalla decisione su opposizione e ha un interesse degno di protezione al suo annullamento o alla sua modificazione.</w:t>
      </w:r>
    </w:p>
    <w:p>
      <w:r>
        <w:t>La giurisprudenza considera degno di protezione ogni interesse pratico o giuridico a domandare la modificazione o lannullamento della decisione impugnata che può fare valere una persona toccata da questultima. Linteresse degno di protezione consiste pertanto nellutilità pratica che laccoglimento dellimpugnativa procurerebbe al ricorrente o, in altri termini, nel fatto di evitare un pregiudizio economico, ideale, materiale o di altra natura che la decisione impugnata gli cagionerebbe (cfr. DTF 130 V 196, consid. 3 e riferimenti ivi citati; U. Kieser, ATSG-Kommentar, 2° ed., Zurigo-Basilea-Ginevra 2009; N. 4 segg. ad art. 59)).</w:t>
      </w:r>
    </w:p>
    <w:p>
      <w:r>
        <w:t>Linteresse deve essere diretto e concreto. In particolare, la persona deve trovarsi in un rapporto sufficientemente stretto con la decisione; ciò non è il caso di colui che è toccato soltanto in modo indiretto o mediato.</w:t>
      </w:r>
    </w:p>
    <w:p>
      <w:r>
        <w:t>Questo presupposto assume un particolare significato quando la decisione non viene impugnata dal suo destinatario in senso materiale, ma da un terzo (DTF 130 V 560, consid. 3.3).</w:t>
      </w:r>
    </w:p>
    <w:p>
      <w:r>
        <w:t>Su questo tema cfr. pure STF 8C_68/2008 del 27 gennaio 2009 consid. 2.1.; STF I 112/07 del 25 gennaio 2008; RtiD II-2006 pag. 190 e RtiD II-2006 pag. 195.</w:t>
      </w:r>
    </w:p>
    <w:p>
      <w:r>
        <w:t>In un giudizio 9C_499/2012 del 27 maggio 2013 consid. 2.1. lAlta Corte ha, segnatamente, rilevato che:</w:t>
      </w:r>
    </w:p>
    <w:p>
      <w:r>
        <w:t>"() È dato un interesse degno di protezione se l'esito della procedura è suscettibile di influenzare la situazione fattuale o giuridica del ricorrente (DTF 133 II 409consid. 1.3 pag. 413 con riferimenti). L'interesse - pratico e attuale - non deve sussistere soltanto al momento dell'inoltro del ricorso, bensì anche quando è pronunciata la sentenza (DTF 136 II 101consid.1.1 pag. 103; cfr. pure Steinmann, in Basler Kommentar zum Bundesgerichtsgesetz, 2a ed. 2011, n. 74 all'art.89). Questa esigenza garantisce, nell'interesse dell'economia processuale, che il Tribunale federale statuisca su questioni concrete e non soltanto teoriche (DTF 136 I 274consid.1.3 pag. 276 seg.)."</w:t>
      </w:r>
    </w:p>
    <w:p>
      <w:r>
        <w:t>Al riguardo giova ribadire, da una parte, che ai sensi dellart. 59 LPGA, applicabile nel caso di specie in virtù degli art.65 Las e 33 cpv. 3 Laps (cfr. consid. 2.2.),ha diritto di ricorrere chiunque è toccato dalla decisione o dalla decisione su opposizione e ha un interesse degno di protezione al suo annullamento o alla sua modificazione.</w:t>
      </w:r>
    </w:p>
    <w:p>
      <w:r>
        <w:t>Avendo lamministrazione, con decisione su reclamo del 7 settembre 2018, riformato il precedente provvedimento del 26 febbraio 2018 e accolto la richiesta del ricorrente formulata nel reclamo del 13 marzo 2018, e meglio che glivenga revocata la sanzione con effetto immediato(cfr. doc. 506), un ricorso contro la decisione su reclamo citata non può portare ora a un risultato più favorevole per questultimo.</w:t>
      </w:r>
    </w:p>
    <w:p>
      <w:r>
        <w:t>Linsorgente, quindi, nella presente evenienza non dispone di un interesse degno di protezione pratico e attuale alla disamina della decisione su reclamo del 7 settembre 2018.</w:t>
      </w:r>
    </w:p>
    <w:p>
      <w:r>
        <w:t>Difettando un interesse degno di protezione, il ricorso risulta pertanto inammissibile (cfr. STCA 42.2018.41 del 5 dicembre 2018 consid. 2.6.in fine; STCA 42.2018.12 del 5 aprile 2018; STCA 38.2015.74 del 30 novembre 2015; STCA 38.2013.27 del 24 luglio 2013).</w:t>
      </w:r>
    </w:p>
    <w:p>
      <w:r>
        <w:t>Nella presente fattispecie la decisione su reclamo del 7 settembre 2018, come pure la decisione del 26 febbraio 2018 (cfr. doc. 257; A1), riguardano esclusivamente il diritto a prestazioni assistenziali ordinarie per i mesi di marzo e aprile 2018.</w:t>
      </w:r>
    </w:p>
    <w:p>
      <w:r>
        <w:t>Ogni altra questione sollevata nel ricorso e nelle osservazioni del 16 e 26 ottobre 2018 (cfr. doc. I; V; IX), in particolare concernente la richiesta di versargli il denaro corrispondente a tutte le trattenute applicategli dal giugno 2011 o eventualmente dal giugno 2012, esula dunque dalla presente causa.</w:t>
      </w:r>
    </w:p>
    <w:p>
      <w:r>
        <w:t>Di conseguenza questa Corte non può esaminare la problematica menzionata.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