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42.2018.27 vom 22. Mai 2018</w:t>
      </w:r>
    </w:p>
    <w:p>
      <w:r>
        <w:t>TI Tribunale d'appello, 2018-05-22, IT</w:t>
      </w:r>
    </w:p>
    <w:p>
      <w:r>
        <w:rPr>
          <w:b/>
        </w:rPr>
        <w:t xml:space="preserve">Quelle: </w:t>
      </w:r>
      <w:r>
        <w:t>https://mcp.opencaselaw.ch/entscheid/ti_gerichte_42.2018.27_d20180522</w:t>
      </w:r>
    </w:p>
    <w:p>
      <w:r>
        <w:t>FR: TI_GERICHTE 42.2018.27 du 22 mai 2018</w:t>
      </w:r>
    </w:p>
    <w:p>
      <w:r>
        <w:t>IT: TI_GERICHTE 42.2018.27 del 22 maggio 2018</w:t>
      </w:r>
    </w:p>
    <w:p>
      <w:pPr>
        <w:pStyle w:val="Heading2"/>
      </w:pPr>
      <w:r>
        <w:t>Regeste</w:t>
      </w:r>
    </w:p>
    <w:p>
      <w:r>
        <w:t>"Reclamo" al TCA irricevibile. TCA si pronuncia solo su decisioni su reclamo. Inoltre non interesse degno di protezione pratico e attuale alla disamina delle decisioni (importi delle prestazioni assistenziali speciali riconosciuti già versati)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>
      <w:r>
        <w:t>2.3.   Lart. 59 LPGA, relativo alla legittimazione ricorsuale e applicabile in ambito di assistenza sociale in virtù dei rinvii di cui agli art. 65 cpv. 1 Las e 33 cpv. 3 Laps, stabilisce che ha diritto di ricorrere chiunque è toccato dalla decisione o dalla decisione su opposizione e ha un interesse degno di protezione al suo annullamento o alla sua modificazione.</w:t>
      </w:r>
    </w:p>
    <w:p>
      <w:r>
        <w:t>La giurisprudenza considera degno di protezione ogni interesse pratico o giuridico a domandare la modificazione o lannullamento della decisione impugnata che può fare valere una persona toccata da questultima. Linteresse degno di protezione consiste pertanto nellutilità pratica che laccoglimento dellimpugnativa procurerebbe al ricorrente o, in altri termini, nel fatto di evitare un pregiudizio economico, ideale, materiale o di altra natura che la decisione impugnata gli cagionerebbe (cfr. DTF 130 V 196, consid. 3 e riferimenti ivi citati).</w:t>
      </w:r>
    </w:p>
    <w:p>
      <w:r>
        <w:t>Linteresse deve essere diretto e concreto. In particolare, la persona deve trovarsi in un rapporto sufficientemente stretto con la decisione; ciò non è il caso di colui che è toccato soltanto in modo indiretto o mediato.</w:t>
      </w:r>
    </w:p>
    <w:p>
      <w:r>
        <w:t>Questo presupposto assume un particolare significato quando la decisione non viene impugnata dal suo destinatario in senso materiale, ma da un terzo (DTF 130 V 560, consid. 3.3).</w:t>
      </w:r>
    </w:p>
    <w:p>
      <w:r>
        <w:t>Su questo tema cfr. pure STF 8C_68/2008 del 27 gennaio 2009 consid. 2.1.; STF I 112/07 del 25 gennaio 2008; RtiD II-2006 pag. 190 e RtiD II-2006 pag. 195.</w:t>
      </w:r>
    </w:p>
    <w:p>
      <w:r>
        <w:t>In un giudizio 9C_499/2012 del 27 maggio 2013 consid. 2.1. lAlta Corte ha, segnatamente, rilevato che:</w:t>
      </w:r>
    </w:p>
    <w:p>
      <w:r>
        <w:t>"() È dato un interesse degno di protezione se l'esito della procedura è suscettibile di influenzare la situazione fattuale o giuridica del ricorrente (DTF 133 II 409consid. 1.3 pag. 413 con riferimenti). L'interesse - pratico e attuale - non deve sussistere soltanto al momento dell'inoltro del ricorso, bensì anche quando è pronunciata la sentenza (DTF 136 II 101consid.1.1 pag. 103; cfr. pure Steinmann, in Basler Kommentar zum Bundesgerichtsgesetz, 2a ed. 2011, n. 74 all'art.89). Questa esigenza garantisce, nell'interesse dell'economia processuale, che il Tribunale federale statuisca su questioni concrete e non soltanto teoriche (DTF 136 I 274consid.1.3 pag. 276 seg.)."</w:t>
      </w:r>
    </w:p>
    <w:p>
      <w:r>
        <w:t>Questa Corte rileva, inoltre, che RI 1, nella presente evenienza, a prescindere dalla questione della tempestività o meno della contestazione delle decisioni del 22 e 24 maggio 2018, non dispone in ogni caso di un interesse degno di protezione pratico e attuale alla disamina delle decisioni del 22, 24 maggio e 13 luglio 2018 (cfr. consid. 2.3.; 2.4.).</w:t>
      </w:r>
    </w:p>
    <w:p>
      <w:r>
        <w:t>In effetti con i provvedimenti del 22, 24 maggio e 13 luglio 2018 lUSSI le ha riconosciuto delle prestazioni assistenziali speciali - non censurate in quanto tali - i cui importi, contrariamente a quanto asserito dallinteressata nello scritto del 28 luglio 2018 (cfr. consid. 1.4.; doc. I), sono già stati corrisposti (cfr. consid. 1.1.; 1.2; 1.3.; 1.5.; doc. B1; B2; B3; IV).</w:t>
      </w:r>
    </w:p>
    <w:p>
      <w:r>
        <w:t>In proposito cfr. STCA 42.2018.12 del 5 aprile 2018; STCA 38.2015.74 del 30 novembre 2015; STCA 38.2013.27 del 24 luglio 2013.</w:t>
      </w:r>
    </w:p>
    <w:p>
      <w:r>
        <w:rPr>
          <w:b/>
        </w:rPr>
        <w:t>E. 26</w:t>
      </w:r>
    </w:p>
    <w:p>
      <w:r>
        <w:t>agosto 2009; STCA 42.2008.5 del 14 aprile 2008; STCA 42.2008.5 del 14 aprile 2008). Questa Corte rileva, inoltre, che RI 1 , nella presente evenienza, a prescindere dalla questione della tempestività o meno della contestazione delle decisioni del 22 e 24 maggio 2018, non dispone in ogni caso di un interesse degno di protezione pratico e attuale alla disamina delle decisioni del 22, 24 maggio e 13 luglio 2018 (cfr. consid. 2.3.; 2.4.). In effetti con i provvedimenti del 22, 24 maggio e 13 luglio 2018 l’USSI le ha riconosciuto delle prestazioni assistenziali speciali - non censurate in quanto tali - i cui importi, contrariamente a quanto asserito dall’interessata nello scritto del 28 luglio 2018 (cfr. consid. 1.4.; doc. I), sono già stati corrisposti (cfr. consid. 1.1.; 1.2; 1.3.; 1.5.; doc. B1; B2; B3; IV). In proposito cfr. STCA 42.2018.12 del 5 aprile 2018; STCA 38.2015.74 del 30 novembre 2015; STCA 38.2013.27 del 24 luglio 2013.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