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42.2018.1 vom 3. Oktober 2017</w:t>
      </w:r>
    </w:p>
    <w:p>
      <w:r>
        <w:t>TI Tribunale d'appello, 2017-10-03, IT</w:t>
      </w:r>
    </w:p>
    <w:p>
      <w:r>
        <w:rPr>
          <w:b/>
        </w:rPr>
        <w:t xml:space="preserve">Quelle: </w:t>
      </w:r>
      <w:r>
        <w:t>https://mcp.opencaselaw.ch/entscheid/ti_gerichte_42.2018.1_d20171003</w:t>
      </w:r>
    </w:p>
    <w:p>
      <w:r>
        <w:t>FR: TI_GERICHTE 42.2018.1 du 3 octobre 2017</w:t>
      </w:r>
    </w:p>
    <w:p>
      <w:r>
        <w:t>IT: TI_GERICHTE 42.2018.1 del 3 ottobre 2017</w:t>
      </w:r>
    </w:p>
    <w:p>
      <w:pPr>
        <w:pStyle w:val="Heading2"/>
      </w:pPr>
      <w:r>
        <w:t>Regeste</w:t>
      </w:r>
    </w:p>
    <w:p>
      <w:r>
        <w:t>Negato prest.assist. da 10/2017.Non computato alcunché quale pigione,poiché ricorr.in formaz.,nonost.ospitata dalla madre,concluso contratto locaz.x un 3 1/2 nello stesso stabile sotto condiz.che fosse erogata l'AS.Obbligo di ridurre danno.Princ.di sussidiarietà.Negato incontro con TCA. Ric.respinto</w:t>
      </w:r>
    </w:p>
    <w:p>
      <w:pPr>
        <w:pStyle w:val="Heading2"/>
      </w:pPr>
      <w:r>
        <w:t>Erwägungen</w:t>
      </w:r>
    </w:p>
    <w:p>
      <w:r>
        <w:rPr>
          <w:b/>
        </w:rPr>
        <w:t>E. 8</w:t>
      </w:r>
    </w:p>
    <w:p>
      <w:r>
        <w:t>settembre 2006 pag. 313-317).</w:t>
      </w:r>
    </w:p>
    <w:p>
      <w:r>
        <w:t>2.3.   L'art. 1 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 2 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2.4.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 3 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w:t>
      </w:r>
    </w:p>
    <w:p>
      <w:r>
        <w:t>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"1Il Consiglio di Stato provvede affinché il cittadino disponga di una rete di informazione sulle possibilità di accesso alle prestazioni sociali efficace e decentralizzata.</w:t>
      </w:r>
    </w:p>
    <w:p>
      <w:r>
        <w:t>2Scopo dellinformazione è di:</w:t>
      </w:r>
    </w:p>
    <w:p>
      <w:r>
        <w:t>a) informare e orientare lutente sulle sue possibilità di accesso alle prestazioni sociali;</w:t>
      </w:r>
    </w:p>
    <w:p>
      <w:r>
        <w:t>b) mettere a disposizione dellutente la necessaria documentazione e in particolare i moduli di richiesta e di accertamento del reddito disponibile residuale;</w:t>
      </w:r>
    </w:p>
    <w:p>
      <w:r>
        <w:t>c) indirizzare ed accompagnare lutente verso altri servizi pubblici o privati operanti nel settore.</w:t>
      </w:r>
    </w:p>
    <w:p>
      <w:r>
        <w:t>3La consulenza in merito ai propri diritti ed obblighi è, di regola, fornita gratuitamente.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