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42.2018.16 vom 13. August 2018</w:t>
      </w:r>
    </w:p>
    <w:p>
      <w:r>
        <w:t>TI Tribunale d'appello, 2018-08-13, IT</w:t>
      </w:r>
    </w:p>
    <w:p>
      <w:r>
        <w:rPr>
          <w:b/>
        </w:rPr>
        <w:t xml:space="preserve">Quelle: </w:t>
      </w:r>
      <w:r>
        <w:t>https://mcp.opencaselaw.ch/entscheid/ti_gerichte_42.2018.16</w:t>
      </w:r>
    </w:p>
    <w:p>
      <w:r>
        <w:t>FR: TI_GERICHTE 42.2018.16 du 13 août 2018</w:t>
      </w:r>
    </w:p>
    <w:p>
      <w:r>
        <w:t>IT: TI_GERICHTE 42.2018.16 del 13 agosto 2018</w:t>
      </w:r>
    </w:p>
    <w:p>
      <w:pPr>
        <w:pStyle w:val="Heading2"/>
      </w:pPr>
      <w:r>
        <w:t>Erwägungen</w:t>
      </w:r>
    </w:p>
    <w:p>
      <w:r>
        <w:rPr>
          <w:b/>
        </w:rPr>
        <w:t>E. 28</w:t>
      </w:r>
    </w:p>
    <w:p>
      <w:r>
        <w:t>maggio 2018 al riguardo ha sottolineato che() tramite reclamo e poi dettagliatamente nel ricorso lassistita ha potuto adeguatamente esporre le sue argomentazioni e giustificazioni di modo che una mancata richiesta preventiva di giustificazioni risulta in concreto sanata e irrilevante ()(cfr. doc. III, par. 9, pag. 4 i.f.).</w:t>
      </w:r>
    </w:p>
    <w:p>
      <w:r>
        <w:t>Da ultimo, questa Corte rileva anche che la ricorrente nel reclamo da lei inoltrato (cfr. doc. 624-625) non ha accennato minimamente alla violazione del diritto di essere sentita, che è stata invece sollevata dalla sua patrocinatrice soltanto in sede ricorsuale (cfr. doc. I), e questo nonostante il fatto che il motivo della sanzione veniva specificato chiaramente anche nella precedente decisione di sanzione del 26 settembre 2017 nella menzione () per mancato annuncio (violazione dellobbligo di informare) ()(cfr. doc. 623).</w:t>
      </w:r>
    </w:p>
    <w:p>
      <w:r>
        <w:t>La censura di natura formale deve dunque essere respinta.</w:t>
      </w:r>
    </w:p>
    <w:p>
      <w:r>
        <w:t>■Estensione della riduzione</w:t>
      </w:r>
    </w:p>
    <w:p>
      <w:r>
        <w:t>■Lentità del danno causato dal comportamento è da vagliare nel calcolo della sanzione. La riduzione massima del 30% del fabbisogno per il mantenimento è ammessa solo in casi di ri­petuta o grave violazione degli obblighi;</w:t>
      </w:r>
    </w:p>
    <w:p>
      <w:r>
        <w:t>Altri motivi ad esempio</w:t>
      </w:r>
    </w:p>
    <w:p>
      <w:r>
        <w:t>·Disponibilità finanziaria limitata</w:t>
      </w:r>
    </w:p>
    <w:p>
      <w:r>
        <w:t>·Non ho ricevuto la lettera</w:t>
      </w:r>
    </w:p>
    <w:p>
      <w:r>
        <w:t>non sono ritenuti validi.</w:t>
      </w:r>
    </w:p>
    <w:p>
      <w:r>
        <w:t>3.3.    Sanzioni ¨</w:t>
      </w:r>
    </w:p>
    <w:p>
      <w:r>
        <w:t>4. DISPOSIZIONI FINALI</w:t>
      </w:r>
    </w:p>
    <w:p>
      <w:r>
        <w:t>·Questa direttiva è valida dal 1 gennaio 2016 fino a revoca.()</w:t>
      </w:r>
    </w:p>
    <w:p>
      <w:r>
        <w:t>Dagli atti emerge che la ricorrente ha avvisato, tramite e-mail del 26 aprile 2017, il suo consulente URC __________ dellinizio di unattività lavorativa a partire dal 2 maggio 2017 presso l__________ di __________ in qualità di assistente HR (cfr. doc. 626).</w:t>
      </w:r>
    </w:p>
    <w:p>
      <w:r>
        <w:t>L8 maggio 2017 lURC ha quindi effettuato lannullamento del nominativo della ricorrente dal sistema COLSTA (cfr. doc. 628).</w:t>
      </w:r>
    </w:p>
    <w:p>
      <w:r>
        <w:t>Con e-mail del 28 giugno 2017 la ricorrente ha poi avvisato nuovamente il suo consulente URC comunicandogli di essere stata licenziata con effetto al 26 giugno 2017 e chiedendo come doveva muoversi (cfr. doc.626).</w:t>
      </w:r>
    </w:p>
    <w:p>
      <w:r>
        <w:t>Con e-mail di risposta di medesima data, questultimo le ha risposto di informarsi presso il datore di lavoro per verificare se pagano la malattia ed in seguito di contattare lassistenza (cfr. doc. F allegato a doc. I).</w:t>
      </w:r>
    </w:p>
    <w:p>
      <w:r>
        <w:t>La disdetta del contratto, datata 20 giugno 2017, figura agli atti (cfr. doc. 636).</w:t>
      </w:r>
    </w:p>
    <w:p>
      <w:r>
        <w:t>La ricorrente è poi stata in malattia dal 22 giugno 2017 all11 luglio 2017, come si evince dal certificato medico Dr. med. __________ (cfr. doc. 637, 638).</w:t>
      </w:r>
    </w:p>
    <w:p>
      <w:r>
        <w:t>Con e-mail del 4 luglio 2017 lassicurata ha inviato alloperatrice del servizio sociale comunale __________ la lettera di licenziamento dell__________ unitamente al certificato medico (cfr. doc. 630).</w:t>
      </w:r>
    </w:p>
    <w:p>
      <w:r>
        <w:t>Con e-mail di risposta del 13 luglio 2017, loperatrice ha comunicato alla ricorrente di non avere trovato alcuna sua comunicazione che annunciasse unattività lucrativa a partire dal 2 maggio 2017, e ha esplicitamente chiesto alla ricorrente se aveva avvisato la Signora __________, incaricata della sua pratica di assistenza (cfr. doc. 630).</w:t>
      </w:r>
    </w:p>
    <w:p>
      <w:r>
        <w:t>Con email di risposta di medesima data, la ricorrente ha dichiarato di aver avvisato dellinizio dellattività lucrativa il suo consulente allURC, e di essere()del parere che queste informazioni passano direttamente a lei ()(cfr. doc. 629).</w:t>
      </w:r>
    </w:p>
    <w:p>
      <w:r>
        <w:t>Loperatrice del servizio sociale comunale ha risposto affermando che ()se ha consegnato i documenti al consulente URC allora dovrebbero essere automaticamente passati a Bellinzona (assistenza), non avendo una procura su di lei, è corretto che non mi sia arrivato nulla. Limportante è che sia stata avvisata la signora __________ ()(cfr. doc. 629).</w:t>
      </w:r>
    </w:p>
    <w:p>
      <w:r>
        <w:t>La ricorrente ha ancora risposto affermando che è stato il suo consulente URC a dirle di parlare con il datore di lavoro ed in seguito di contattare lassistenza (cfr. doc. G, pag. 3 allegato a doc. I).</w:t>
      </w:r>
    </w:p>
    <w:p>
      <w:r>
        <w:t>Il 26 settembre 2017 lUSSI, dopo essere venuto a conoscenza dellinizio dellattività lucrativa, ha emanato un ordine di restituzione chiedendo a RI 1 di restituire le prestazioni percepite indebitamente (cfr. doc. 465). Come emerge dagli atti, lordine di restituzione non è stato contestato e le prestazioni sono state restituite.</w:t>
      </w:r>
    </w:p>
    <w:p>
      <w:r>
        <w:t>Il 10 ottobre 2017 la ricorrente ha personalmente inoltrato un reclamo nel quale ha contestato la decisione di sanzione emanata dallUSSI, indicando invece di avere adeguatamente informato sia il suo consulente URC, sia loperatrice dellUfficio sociale di Tenero, di aver iniziato unattività lucrativa.</w:t>
      </w:r>
    </w:p>
    <w:p>
      <w:r>
        <w:t>Inoltre la ricorrente ha anche indicato che la sanzione, oltre a non essere giustificata, sarebbe eccessiva per la sua difficile situazione finanziaria, e quindi sproporzionata (cfr. doc. 624 - 625).</w:t>
      </w:r>
    </w:p>
    <w:p>
      <w:r>
        <w:t>Con decisione di reclamo del 26 marzo 2018 lUSSI ha respinto il reclamo sopra citato e confermato integralmente il contenuto della sua precedente decisione (cfr. doc. 614).</w:t>
      </w:r>
    </w:p>
    <w:p>
      <w:r>
        <w:t>In data 3 aprile 2018 loperatrice del servizio sociale comunale di __________, __________, ha presentato osservazioni alla decisione su reclamo sopra citata, dal tenore seguente:</w:t>
      </w:r>
    </w:p>
    <w:p>
      <w:r>
        <w:t>La sua patrocinatrice contesta questo fatto sostenendo segnatamente che:</w:t>
      </w:r>
    </w:p>
    <w:p>
      <w:r>
        <w:t>Dalle carte processuali, emerge che la ricorrente ha dapprima comunicato linizio dellattività lavorativa al suo consulente dellURC con e-mail del 26 aprile 2017, e solo in seguito, nel luglio 2017, si è rivolta alloperatrice del servizio sociale comunale di __________ (cfr. doc. 626; 629).</w:t>
      </w:r>
    </w:p>
    <w:p>
      <w:r>
        <w:t>Ciò è confermato dal fatto che la ricorrente ha in seguito risposto ad un ulteriore email delloperatrice dichiarando che() io dopo ho chiamato la consulenza l-gav per settore alberghiero per vedere come vengo pagato. Consulente urc mi diceva seconda cosa dopo parlare con datore di lavoro è contattare assistenza ()(cfr. doc. 629 i.i; doc. G, pag. 3 allegato a doc. I).</w:t>
      </w:r>
    </w:p>
    <w:p>
      <w:r>
        <w:t>Ciò è inoltre anche stato confermato dalla stessa operatrice nelle sue osservazioni del 3 aprile 2018 concernenti la decisione su reclamo, dove ha dichiarato che() si precisa che lufficio sociale di Tenero riceve linformazione tramite e-mail di tale attività lucrativa in data3 [recte: 4] luglio 2017()(cfr. doc. 619: consid. 2.5. i.f.).</w:t>
      </w:r>
    </w:p>
    <w:p>
      <w:r>
        <w:t>Ad avvalorare ulteriormente questo aspetto vi è il fatto che la ricorrente, in un email di medesima data ma precedente a quello sopra indicato, ha risposto alloperatrice dellufficio sociale di __________  che le comunicava che() riguardo le sua email e i miei appunti sulla sua situazione non ho però trovato alcuna sua comunicazione che avesse cominciato unattività lucrativa a partire dal 02.05.2017 ()e le chiedevase() aveva per caso lei inoltrato alla signora __________, incaricata della sua pratica di assistenza, il contratto di lavoro per annunciare il cambiamento della sua situazione economica? ()(cfr. doc. 630)- che() avevo inoltrato il contratto di lavoro al mio consulente dellURC e mi ha cancellato dal sistema COLSTA. Io ero del parere che queste informazioni passano direttamente a lei ()(cfr. doc. 629).</w:t>
      </w:r>
    </w:p>
    <w:p>
      <w:r>
        <w:t>È in effetti a questultima affermazione che si riferisce la patrocinatrice della ricorrente quando dichiara che:</w:t>
      </w:r>
    </w:p>
    <w:p>
      <w:r>
        <w:t>In seguito la patrocinatrice della ricorrente, ha anche affermato che:</w:t>
      </w:r>
    </w:p>
    <w:p>
      <w:r>
        <w:t>Al riguardo, questa Corte rileva quanto segue.</w:t>
      </w:r>
    </w:p>
    <w:p>
      <w:r>
        <w:t>L'art. 27 LPGA sancisce, in particolare, per l'amministrazione un doveredicarattere collettivo, generale e permanente difornire informazioni (cpv. 1) e il diritto soggettivo e individuale dell'assicurato alla consulenza (cioè un parere su ciò che conviene fare) su un caso preciso, che può essere fatto valere in giustizia (cpv. 2)</w:t>
      </w:r>
    </w:p>
    <w:p>
      <w:r>
        <w:t>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w:t>
      </w:r>
    </w:p>
    <w:p>
      <w:r>
        <w:t>Di conseguenza il consulente dellURC non era tenuto a comunicare alla ricorrente di informare lUSSI dellinizio dellattività lucrativa, non essendo propriamente questo lambito di sua competenza.</w:t>
      </w:r>
    </w:p>
    <w:p>
      <w:r>
        <w:t>A tal proposito il TCA rileva che, siccome la sanzione èconforme a quando indicato nelle tabelle riportate nelle direttive dellUSSI (cfr. consid. 2.2.cfr. direttive COSAS del 2005 e direttive "Sanzioni in generale", in vigore dal 1° gennaio 2016), ed è conforme anche ai precedenti giurisprudenziali dellAlta Corte e di questa Corte (cfr. sentenze consid. 2.4.), la sua entità, come precisato anche dallamministrazione nella decisione qui impugnata (cfr. doc. 618), rispetta anche il principio della proporzionalità. Questo non impedisce però alla ricorrente di valutare semmai la possibilità di chiedere allUSSI, se rispetta le condizioni, di poter beneficiare di un pagamento rateizzato.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