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42.2017.48 vom 19. September 2017</w:t>
      </w:r>
    </w:p>
    <w:p>
      <w:r>
        <w:t>TI Tribunale d'appello, 2017-09-19, IT</w:t>
      </w:r>
    </w:p>
    <w:p>
      <w:r>
        <w:rPr>
          <w:b/>
        </w:rPr>
        <w:t xml:space="preserve">Quelle: </w:t>
      </w:r>
      <w:r>
        <w:t>https://mcp.opencaselaw.ch/entscheid/ti_gerichte_42.2017.48_d20170919</w:t>
      </w:r>
    </w:p>
    <w:p>
      <w:r>
        <w:t>FR: TI_GERICHTE 42.2017.48 du 19 septembre 2017</w:t>
      </w:r>
    </w:p>
    <w:p>
      <w:r>
        <w:t>IT: TI_GERICHTE 42.2017.48 del 19 settembre 2017</w:t>
      </w:r>
    </w:p>
    <w:p>
      <w:pPr>
        <w:pStyle w:val="Heading2"/>
      </w:pPr>
      <w:r>
        <w:t>Regeste</w:t>
      </w:r>
    </w:p>
    <w:p>
      <w:r>
        <w:t>Richiesta di condono della restituzione di parte degli alimenti anticipati interposta al TCA è irricevibile. "Ricorso" al TCA contro la dec. del CdS che ha confermato l'OR dell'USSI è inammissibile. Atti trasmessi a USSI per decidere in merito al condono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L’art. 36 Las, per quanto concerne le prestazioni - fra le quali figura pure l’anticipo alimenti da parte dell’USSI (cfr. art. 27 Las; art. 1 cpv. 1 del Regolamento concernente l’anticipo degli alimenti per i figli minorenni – RAIA) -, ottenute indebitamente, enuncia: " Le prestazioni indebitamente percepite vanno restituite alle condizioni di cui all’art. 26 Laps.” Ai sensi dell’art. 26 della Legge sull’armonizzazione e il coordinamento delle prestazioni sociali (Laps) ,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2.3.   RI 1, nel “ricorso” contro la decisione del 19 settembre 2017, con la quale il Consiglio di Stato ha confermato l’ordine di restituzione di parte degli alimenti percepiti da aprile a luglio 2016 emesso dall’USSI il 9 giugno 2017 nei suoi confronti, ha chiesto a questa Corte soltanto il condono dell’importo da restituire, facendo valere la propria buona fede e l’onere troppo grave (cfr. doc. I; consid. 1.5.). In relazione alla restituzione della somma di fr. 4'350.-- non è stato ancora emanato alcun provvedimento riguardante il condono. Se non è stata emessa alcuna decisione, la contestazione non ha oggetto e non può dunque essere pronunciata una sentenza nel merito (cfr. STF 9C_382/2017 del 18 agosto 2017 consid. 2; STF 8C_208/2013 del 3 luglio 2013 consid. 2.1.; STF C 138/06 del 21 maggio 2007; STF C 22/06 del 5 gennaio 2007; DTF 131 V 164 consid. 2.1; DTF 125 V 414 consid. 1a; DTF 119 Ib 36 consid. 1b). Per costante giurisprudenza federale, inoltre, è possibile pronunciare una decisione di condono solo al momento della crescita in giudicato formale della decisione di restituzione, ritenuto che unicamente in quel caso tale obbligo è stabilito definitivamente (cfr. STF 8C_589/2016 del 26 aprile 2017 consid.3.1.; STF 9C_211/2009 del 26 febbraio 2010; STF 8C_130/2008 dell'11 luglio 2008; STF 8C_617/2009 del 5 novembre 2009). La richiesta di condono inoltrata da RI 1 al TCA è pertanto inammissibile e sarà esaminata nella procedura successiva relativa al condono di competenza, in prima battuta, dell’USSI, come peraltro indicato dal medesimo nel proprio provvedimento del 9 giugno 2017 (cfr. doc. III1; consid. 1.6.) e già rilevato dal Consiglio di Stato nella decisione del 19 settembre 2017 (cfr. doc. A; consid. 1.4.). Il presente “ricorso” è conseguentemente irricevibile (cfr. STCA 42.2011.32 del 9 gennaio 2012). Gli atti sono trasmessi all’USSI perché si pronunci in merito alla domanda di condono formulata da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