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42.2017.24 vom 21. Oktober 2016</w:t>
      </w:r>
    </w:p>
    <w:p>
      <w:r>
        <w:t>TI Tribunale d'appello, 2016-10-21, IT</w:t>
      </w:r>
    </w:p>
    <w:p>
      <w:r>
        <w:rPr>
          <w:b/>
        </w:rPr>
        <w:t xml:space="preserve">Quelle: </w:t>
      </w:r>
      <w:r>
        <w:t>https://mcp.opencaselaw.ch/entscheid/ti_gerichte_42.2017.24_d20161021</w:t>
      </w:r>
    </w:p>
    <w:p>
      <w:r>
        <w:t>FR: TI_GERICHTE 42.2017.24 du 21 octobre 2016</w:t>
      </w:r>
    </w:p>
    <w:p>
      <w:r>
        <w:t>IT: TI_GERICHTE 42.2017.24 del 21 ottobre 2016</w:t>
      </w:r>
    </w:p>
    <w:p>
      <w:pPr>
        <w:pStyle w:val="Heading2"/>
      </w:pPr>
      <w:r>
        <w:t>Regeste</w:t>
      </w:r>
    </w:p>
    <w:p>
      <w:r>
        <w:t>Negato il diritto a prestazioni assistenziali. Nonostante lacuna di reddito Las, AFC quale impiegata di commercio formazione sufficiente x conseguire reddito sufficiente. Principio di sussidiarietà. Decisiva in casu durata della nuova formazione di 3 anni a tempo pieno non breve</w:t>
      </w:r>
    </w:p>
    <w:p>
      <w:pPr>
        <w:pStyle w:val="Heading2"/>
      </w:pPr>
      <w:r>
        <w:t>Erwägungen</w:t>
      </w:r>
    </w:p>
    <w:p>
      <w:r>
        <w:rPr>
          <w:b/>
        </w:rPr>
        <w:t>E. 1</w:t>
      </w:r>
    </w:p>
    <w:p>
      <w:r>
        <w:t>persona</w:t>
      </w:r>
    </w:p>
    <w:p>
      <w:r>
        <w:t>977.--</w:t>
      </w:r>
    </w:p>
    <w:p>
      <w:r>
        <w:t>100.--</w:t>
      </w:r>
    </w:p>
    <w:p>
      <w:r>
        <w:t>1077.--</w:t>
      </w:r>
    </w:p>
    <w:p>
      <w:r>
        <w:rPr>
          <w:b/>
        </w:rPr>
        <w:t>E. 1.1</w:t>
      </w:r>
    </w:p>
    <w:p>
      <w:r>
        <w:t>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rPr>
          <w:b/>
        </w:rPr>
        <w:t>E. 2</w:t>
      </w:r>
    </w:p>
    <w:p>
      <w:r>
        <w:t>persone</w:t>
      </w:r>
    </w:p>
    <w:p>
      <w:r>
        <w:t>1495.--</w:t>
      </w:r>
    </w:p>
    <w:p>
      <w:r>
        <w:t>100.--</w:t>
      </w:r>
    </w:p>
    <w:p>
      <w:r>
        <w:t>1595.--</w:t>
      </w:r>
    </w:p>
    <w:p>
      <w:r>
        <w:rPr>
          <w:b/>
        </w:rPr>
        <w:t>E. 2.5</w:t>
      </w:r>
    </w:p>
    <w:p>
      <w:r>
        <w:t>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entrate in vigore alcune ulteriori modifiche della Las e della Laps (cfr. BU 44/2006 del 29 settembre 2006 pag. 385-386; BU 40/2006 del 8 settembre 2006 pag. 313-317).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relativo all’ordine delle prestazioni, enuncia del resto che " Le prestazioni sociali di complemento armonizzate vengono concesse nell’ordine in cui figurano all’art. 2 cpv. 1, ritenuto che: a) prima dell’erogazione delle prestazioni sociali di complemento vanno erogate le riduzioni dei premi previste nell’assicurazione obbligatoria delle cure medico-sanitarie (art. 11 cpv. 1 lett. b) e le prestazioni d’aiuto allo studio (art. 11 cpv. 1 lett. c),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Per lanno 2016 leDirettive riguardanti gli importi delle prestazioni assistenziali prevedono quanto segue:</w:t>
      </w:r>
    </w:p>
    <w:p>
      <w:r>
        <w:t>Persone dellunità di riferimento  - Forfait globale per il mantenimento</w:t>
      </w:r>
    </w:p>
    <w:p>
      <w:r>
        <w:t>(raccomandato dalla COSAS)</w:t>
      </w:r>
    </w:p>
    <w:p>
      <w:r>
        <w:t>(CHF/mese)</w:t>
      </w:r>
    </w:p>
    <w:p>
      <w:r>
        <w:t>1 persona 986.--</w:t>
      </w:r>
    </w:p>
    <w:p>
      <w:r>
        <w:t>2 persone                                         1'509.--</w:t>
      </w:r>
    </w:p>
    <w:p>
      <w:r>
        <w:t>3 persone                                          1'834.--</w:t>
      </w:r>
    </w:p>
    <w:p>
      <w:r>
        <w:t>4 persone                                          2'110.--</w:t>
      </w:r>
    </w:p>
    <w:p>
      <w:r>
        <w:t>5 persone                                          2'386.--</w:t>
      </w:r>
    </w:p>
    <w:p>
      <w:r>
        <w:t>Per ogni persona                               + 200.--</w:t>
      </w:r>
    </w:p>
    <w:p>
      <w:r>
        <w:t>supplementare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