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42.2016.30 vom 24. August 2016</w:t>
      </w:r>
    </w:p>
    <w:p>
      <w:r>
        <w:t>TI Tribunale d'appello, 2016-08-24, IT</w:t>
      </w:r>
    </w:p>
    <w:p>
      <w:r>
        <w:rPr>
          <w:b/>
        </w:rPr>
        <w:t xml:space="preserve">Quelle: </w:t>
      </w:r>
      <w:r>
        <w:t>https://mcp.opencaselaw.ch/entscheid/ti_gerichte_42.2016.30_d20160824</w:t>
      </w:r>
    </w:p>
    <w:p>
      <w:r>
        <w:t>FR: TI_GERICHTE 42.2016.30 du 24 août 2016</w:t>
      </w:r>
    </w:p>
    <w:p>
      <w:r>
        <w:t>IT: TI_GERICHTE 42.2016.30 del 24 agosto 2016</w:t>
      </w:r>
    </w:p>
    <w:p>
      <w:pPr>
        <w:pStyle w:val="Heading2"/>
      </w:pPr>
      <w:r>
        <w:t>Regeste</w:t>
      </w:r>
    </w:p>
    <w:p>
      <w:r>
        <w:t>Negato il diritto a prestazioni assistenziali ordinarie. Convivenza stabile da più di 3 anni. Computo della sostanza immobiliare relativa alla comproprietà di un fondo. Spesa d'alloggio massima riconosciuta</w:t>
      </w:r>
    </w:p>
    <w:p>
      <w:pPr>
        <w:pStyle w:val="Heading2"/>
      </w:pPr>
      <w:r>
        <w:t>Erwägungen</w:t>
      </w:r>
    </w:p>
    <w:p>
      <w:r>
        <w:rPr>
          <w:b/>
        </w:rPr>
        <w:t>E. 8</w:t>
      </w:r>
    </w:p>
    <w:p>
      <w:r>
        <w:t>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w:t>
      </w:r>
    </w:p>
    <w:p>
      <w:r>
        <w:t>"A. Forfait globale e Supplemento d'integrazione</w:t>
      </w:r>
    </w:p>
    <w:p>
      <w:r>
        <w:t>Persona dell'unità di riferimento (economia domestica ai sensi del sostegno sociale)</w:t>
      </w:r>
    </w:p>
    <w:p>
      <w:r>
        <w:t>Forfait globale per il mantenimento (raccomandato dalla COSAS)</w:t>
      </w:r>
    </w:p>
    <w:p>
      <w:r>
        <w:t>(fr./mese)</w:t>
      </w:r>
    </w:p>
    <w:p>
      <w:r>
        <w:t>Supplemento d'integrazione (adattamento delle raccomandazioni minime della COSAS)</w:t>
      </w:r>
    </w:p>
    <w:p>
      <w:r>
        <w:t>(fr./mese)</w:t>
      </w:r>
    </w:p>
    <w:p>
      <w:r>
        <w:t>Totale</w:t>
      </w:r>
    </w:p>
    <w:p>
      <w:r>
        <w:t>(fr./mese)</w:t>
      </w:r>
    </w:p>
    <w:p>
      <w:r>
        <w:t>1 persona</w:t>
      </w:r>
    </w:p>
    <w:p>
      <w:r>
        <w:t>977.--</w:t>
      </w:r>
    </w:p>
    <w:p>
      <w:r>
        <w:t>100.--</w:t>
      </w:r>
    </w:p>
    <w:p>
      <w:r>
        <w:t>1077.--</w:t>
      </w:r>
    </w:p>
    <w:p>
      <w:r>
        <w:t>2 persone</w:t>
      </w:r>
    </w:p>
    <w:p>
      <w:r>
        <w:t>1495.--</w:t>
      </w:r>
    </w:p>
    <w:p>
      <w:r>
        <w:t>100.--</w:t>
      </w:r>
    </w:p>
    <w:p>
      <w:r>
        <w:t>1595.--</w:t>
      </w:r>
    </w:p>
    <w:p>
      <w:r>
        <w:t>3 persone</w:t>
      </w:r>
    </w:p>
    <w:p>
      <w:r>
        <w:t>1818.--</w:t>
      </w:r>
    </w:p>
    <w:p>
      <w:r>
        <w:t>100.--</w:t>
      </w:r>
    </w:p>
    <w:p>
      <w:r>
        <w:t>1918.--</w:t>
      </w:r>
    </w:p>
    <w:p>
      <w:r>
        <w:t>4 persone</w:t>
      </w:r>
    </w:p>
    <w:p>
      <w:r>
        <w:t>2090.--</w:t>
      </w:r>
    </w:p>
    <w:p>
      <w:r>
        <w:t>100.--</w:t>
      </w:r>
    </w:p>
    <w:p>
      <w:r>
        <w:t>2190.--</w:t>
      </w:r>
    </w:p>
    <w:p>
      <w:r>
        <w:t>5 persone</w:t>
      </w:r>
    </w:p>
    <w:p>
      <w:r>
        <w:t>2364.--</w:t>
      </w:r>
    </w:p>
    <w:p>
      <w:r>
        <w:t>100.--</w:t>
      </w:r>
    </w:p>
    <w:p>
      <w:r>
        <w:t>2464.--</w:t>
      </w:r>
    </w:p>
    <w:p>
      <w:r>
        <w:t>6 persone</w:t>
      </w:r>
    </w:p>
    <w:p>
      <w:r>
        <w:t>2638.--</w:t>
      </w:r>
    </w:p>
    <w:p>
      <w:r>
        <w:t>100.--</w:t>
      </w:r>
    </w:p>
    <w:p>
      <w:r>
        <w:t>2738.--</w:t>
      </w:r>
    </w:p>
    <w:p>
      <w:r>
        <w:t>7 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2.5.   Ai sensi dellart. 4 cpv. 1 lett. a, c e d Laps, applicabile anche nellambito dellassistenza sociale (cfr. art. 2 Laps; 21 Las),lunità di riferimento è costituita dal titolare del diritto e, in particolare, dai figli minorenni di cui ha lautorità parentale e dal partner convivente, se la convivenza è considerata stabile.</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Riguardo alla funzione delle disposizioni COSAS, cfr. C. Hänzi, Die Richtlinien der schweizerischen Konferenz für Sozialhilfe. Ed. Helbing Lichtenhahn, Basilea 2011, pag. 171-172).</w:t>
      </w:r>
    </w:p>
    <w:p>
      <w:r>
        <w:t>Secondo lart. 22 lett. c Las per il calcolo della spesa per lalloggio, ai fini della determinazione della prestazione assistenziale, viene considerato laffitto maggiorato delle spese accessorie effettive fino al massimale previsto dallart. 9 Laps.</w:t>
      </w:r>
    </w:p>
    <w:p>
      <w:r>
        <w:t>Lart.</w:t>
      </w:r>
    </w:p>
    <w:p>
      <w:r>
        <w:rPr>
          <w:b/>
        </w:rPr>
        <w:t>E. 9</w:t>
      </w:r>
    </w:p>
    <w:p>
      <w:r>
        <w:t>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w:t>
      </w:r>
    </w:p>
    <w:p>
      <w:r>
        <w:t>Per le unità di riferimento composte di due persone la spesa per lalloggio è computata fino ad un massimo corrispondente allimporto riconosciuto dalla legislazione sulle prestazioni complementari all'AVS/AI per i coniugi, ossia fr. 15'000.-- allanno, corrispondenti a fr. 1'250.-- al mese.</w:t>
      </w:r>
    </w:p>
    <w:p>
      <w:r>
        <w:t>Riguardo alla funzione delle disposizioni COSAS, cfr., in dottrina, C. Hänzi, Die Richtlinien der schweizerischen Konferenz für Sozialhilfe". Ed. Helbing Lichtenhahn, Basilea 2011, pag. 171-172.</w:t>
      </w:r>
    </w:p>
    <w:p>
      <w:r>
        <w:t>2.14.   Come già accennato al considerando precedente, dal contratto di locazione del ricorrente e __________ si evince che la pigione dellappartamento di __________ ammonta a fr. 1'950.-- mensili (cfr. doc. 22). Questo importo va maggiorato dalle spese accessorie effettiva, ossia di fr. 50.-- mensili.</w:t>
      </w:r>
    </w:p>
    <w:p>
      <w:r>
        <w:t>Visto quanto esposto, nella concreta evenienza risulta una lacuna di fr. 750.-- che non è rappresentata nel calcolo effettuato dallUSSI. Detto in altre parole, se il ricorrente e __________ vivessero in un appartamento con un affitto massimo di fr. 1'250.-- avrebbero ogni mese fr. 750.- in più a disposizione.</w:t>
      </w:r>
    </w:p>
    <w:p>
      <w:r>
        <w:rPr>
          <w:b/>
        </w:rPr>
        <w:t>E. 12</w:t>
      </w:r>
    </w:p>
    <w:p>
      <w:r>
        <w:t>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 Con giudizio 8C_645/2015 del 10 dicembre 2015 l’Alta Corte ha confermato quanto deciso dall’amministrazione, ossia di considerare conviventi un richiedente di prestazioni assistenziali che è traslocato da un appartamento in un altro perché l’affitto del precedente appartamento sorpassava gli affitti delle direttive del comune in questione e nel nuovo appartamento è entrato assieme alla sua convivente. Inoltre il TF ha osservato che non è arbitrario di considerare la coppia di amanti (“Liebespaar”) che vive nello stesso appartamento quale comunità di abitazione e vita di tipo familiare (“familienähnliche Wohn- und Lebensgemeinschaft”). La circostanza di dormire in stanze diverse e di consumare i pasti ad orari diversi non è neanche inusuale per le economie domestiche comuni. Con giudizio 8C_232/2015 del 17 settembre 2015 l’Alta Corte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8C_138/2016 del 6 settembre 2016, pubblicata in DTF 142 V 513, l’Alta Corte ha ulteriormente specificato la giurisprudenza riguardante l’importo ipotetico a carico del convivente non beneficiario dell’assistenza sociale. Nel caso concreto era incontestato che i ricorrenti vivevano in un concubinato stabile. La questione da chiarire era sapere se si poteva computare un importo ipotetico da parte del convivente il quale usufruiva di una rendita complementare all’AVS/AI. La nostra Massima Istanza ha in particolare rilevato: " Gemäss Praxishilfe H.10 sind in einem stabilien Konkubinat dem erweiterten SKOS-Budget der nicht unterstützten leistungspflichtigen Person sämtliche Einnahmen gegenüberzustellen. Der Einnahmeüberschuss ist sodann im Budget der antragstellenden Person vollumfänglich als Einnahme (Konkubinatsbeitrag) anzurechnen. Es geht darum, dass nicht verheiratete Paare gegenüber verheirateten Paaren nicht wesentlich besser gestellt werden. Ist der nicht unterstützte Konkubinatspartner leistungsfähig, ist unerheblich, woher seine Einnahmen stammen. Ist praxisgemäss das gesamte Netto-Erwerbseinkommen aus selbständiger oder unselbständiger Erwerbstätigkeit anrechenbar, sind auch sämtliche Ersatzeinkommen wie AHV- und IV-Renten, Ergänzungsleistungen, Arbeitslosenunterstützungen oder andere Taggelder von Versicherungen anzurechnen (cfr. 8C_138/2016 del 6 settembre 2016 consid.5.2.1.).”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Infine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Al riguardo cfr. pure STCA 36.2016.17-20 del 23 maggio 2016 e STCA 39.2015.3 del 12 novembre 2015. 2.7.   Le direttive COSAS del 2005 aggiornate nel dicembre 2014 e menzionate nelle sentenze DTF 134 I 313 consid. 5.5. e DTF 141 I 153 consid. 4.3. citate sopra (cfr. consid. 2.3), al punto F. 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i specifici presupposti. In particolare, dev’essere verificato che il contributo al concubinato sia erogato solamente nell’ambito di una relazione stabile. Un concubinato (anche una relazione tra partner dello stesso sesso) è considerato stabile solo se dura almeno due anni o partner vivono congiuntamente a un figlio avuto in comune.” Riguardo alla funzione delle disposizioni COSAS, cfr. C. Hänzi, Die Richtlinien der schweizerischen Konferenz für Sozialhilfe”. Ed. Helbing Lichtenhahn, Basilea 2011, pag. 171-172). 2.8.   Nella presente evenienza, dalle carte emerge che secondo il formulario “ Annuncio presso il Comune di domicilio e appuntamento allo sportello Laps ” il 22 luglio 2016 è stata consegnata la check-list dei documenti da allegare alla domanda di prestazione assistenziali e successivamente il 29 agosto 2016 il ricorrente ha consegnato la documentazione completa (cfr. doc. 39). Lo stesso giorno l’insorgente e __________ hanno firmato l’ulteriore formulario Laps “ Procura, autorizzazione a fornire informazione e compensazione ”. __________, nella casella ove ha dovuto indicare il “rapporto di parentela” con il richiedente ha precisato di essere la sua convivente (cfr. doc. 38). Il 17 agosto 2016, davanti allo sportello regionale di Locarno, l’insorgente ha sottoscritto la conferma dei dati dichiarati, da cui emerge che l’insorgente stesso è il titolare del diritto e la sua unità di riferimento è composta anche da __________ quale sua convivente (cfr. doc. 35-37). Con decisione del 24 agosto 2016 l’USSI ha respinto la richiesta di prestazioni assistenziali indicando che il reddito disponibile residuale dell’unità di riferimento del ricorrente, costituita da lui stesso e __________, supera il limite annuo fissato dal Dipartimento della sanità e della socialità (cfr. doc. 14; consid. 1.1). L’insorgente ha interposto reclamo pervenuto il 6 settembre 2016 al competente ufficio facendo valere in particolare che la prestazione complementare di __________ non può essere calcolata nel reddito disponibile (cfr. doc. 120-123). Il provvedimento del 24 agosto 2016 è stato poi confermato con la decisione su reclamo del 23 ottobre 2016 (cfr. doc. A1). 2.9.   Chiamata a pronunciarsi in merito alla fattispecie, questa Corte ritiene utile rilevare che la convivenza fra il ricorrente e __________ deve essere considerata stabile ai sensi dell’art. 4 cpv. 1 lett. a e c Laps, applicabile anche nell’ambito dell’assistenza sociale (cfr. art. 2 Laps; 21 Las; consid. 2.5.). Come si evince dal contratto di locazione attualmente in essere entrambi sono conduttori dell’appartamento di 4 ½ locali sito nel Comune di __________. Il contratto di locazione con inizio 1° novembre 2013 è stato stipulato il 4 ottobre 2013 e prevede una pigione mensile di fr. 1'950.-- (cfr. doc. 22-27). Già da questa circostanza si lascia dedurre una convivenza da più di tre anni. Inoltre si rileva che RI 1 sin dall’inizio ha indicato che __________ fosse la sua convivente. Nel formulario “ Procura, autorizzazione a fornire informazioni e compensazione ”, compilato e sottoscritto dal ricorrente il 29 luglio 2016, __________ è designata come “convivente” (cfr. doc. 38). Pure nella conferma, sottoscritta davanti allo sportello regionale di __________ dal ricorrente, __________ è indicata esplicitamente quale convivente (cfr. doc. 35). Infine si osserva che il ricorrente soltanto nel ricorso davanti al TCA ha sollevato la questione della convivenza. Invece nel suo reclamo ha solo obiettato che la prestazione complementare di __________ non potrebbe essere utilizzata per coprire il suo mantenimento. Visto quanto esposto e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a ragione l'USSI ha ritenuto che ci troviamo in presenza di un caso di applicazione dell'art. 4 cpv. 1 lett. c Laps e 2a Reg.Laps. A ragione, pertanto, l’USSI nel calcolo del 24 agosto 2016 relativo al diritto a prestazioni assistenziali ordinarie ha tenuto conto di un’unità di riferimento costituita da RI 1 e __________. Siccome __________ fa parte dell’unità di riferimento del ricorrente la rendita complementare all’AVS/AI che ella riceve va calcolata nel reddito computabile Las. Ciò perché le prestazioni assistenziali sono complementari o suppletorie a quelle della previdenza, delle assicurazioni sociali e delle misure contro la disoccupazione previste da altre leggi cantonali. Esse si situano all’ultimo posto nell’ordine di priorità e vengono concesse unicamente quando il diritto a quelle precedenti è esaurito. A tale riguardo cfr. 8C_138/2016 del 6 settembre 2016 (consid. 2.6). 2.10.   RI 1 contesta inoltre la voce “proprietà fondiaria in altri comuni del Cantone” nel conteggio effettuato dall’USSI. Egli sostiene che l’importo sia troppo elevato siccome il fondo è suddiviso in parti uguali tra quattro comproprietari e i valori dei piccoli terreni non sottoposti a stima fossero tutti attribuiti a lui. 2.11.   Questa Corte ricorda innanzitutto che nell’ambito dell’assistenza sociale, come esposto sopra (cfr. consid. 2.3.), vige il principio della sussidiarietà di cui agli art. 2 Las e</w:t>
      </w:r>
    </w:p>
    <w:p>
      <w:r>
        <w:rPr>
          <w:b/>
        </w:rPr>
        <w:t>E. 13</w:t>
      </w:r>
    </w:p>
    <w:p>
      <w:r>
        <w:t>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Inoltre ai sensi dell’art. 22 lett. a cfr. 2 Las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che sono imponibili tutti gli attivi mobiliari e immobiliari. Le disposizioni della Conferenza svizzera dell’azione sociale - COSAS del dicembre 2008 al punto E.2.2 relativo alla sostanza immobiliare sottolineano, peraltro, che: " Non esiste, per principio, il diritto a conservare una sostanza immobiliare. I beni immobiliari (in particolare gli stabili e le parti di comproprietà) in possesso di un beneficiario sono considerati quali risorse private del medesimo. I proprietari di beni immobiliari non devono essere soggetti a un trattamento diverso rispetto ai detentori di risparmi o titoli. Per quanto concerne invece uno stabile occupato dal beneficiario stesso, si rinuncerà ad esigerne la vendita, qualora le condizioni per mantenere tale alloggio dovessero essere equivalenti o più favorevoli di quelle di mercato (v. capitolo B.3). Nei casi in cui la prestazione di sostegno sociale fosse poco rilevante, o se l’intervento rappresenta un contributo solo momentaneo, o se il ricavato dalla vendita del bene fosse troppo esiguo e così via, l’autorità del sostegno sociale potrà ugualmente rinunciare a esigere la liquidazione del bene immobile. I beni immobiliari situati all’estero sono da considerare, per principio, come quelli che si trovano in Svizzera. Se l’autorità competente giudica opportuno che il beneficiario possa conservare l’immobile, si tratterà d’iscrivere un’ipoteca legale esigibile al momento dell’alienazione dell’immobile o del decesso del beneficiario.” Riguardo alla funzione delle disposizioni COSAS e al principio di sussidiarietà cfr., in dottrina, C. Hänzi, Die Richtlinien der schweizerischen Konferenz für Sozialhilfe". Ed. Helbing Lichtenhahn, Basilea 2011, pag. 171-172 e 114-115. Per quanto concerne l’inesistenza, per principio, di un diritto a conservare una sostanza immobiliare cfr. STCA 42.2009.19 dell’ 8 giugno 2010, massimata in RtiD I-2011 N. 12 pag. 50; STCA 42.2012.9 del 24 ottobre 2012; STCA 42.2015.28 del 29 febbraio 2016. 2.12.   Nel caso di specie, attentamente esaminate le carte processuali, il TCA non può che approvare l’operato dell’USSI che ha computato nel relativo calcolo la sostanza immobiliare relativa alla sua parte di comproprietà del fondo nel Comune di __________. Dal rapporto di stima del circondario cantonale di stima __________ di __________ del 25 gennaio 2016 si evince che il valore attuale delle due stalle è stabilito in fr. 17'200.--. L’importo va diviso fra i quattro comproprietari fra cui anche il ricorrente e quindi ogni quota ammonta a fr. 4'325.-- (cfr. doc. 48). Nella decisione di diniego del 24 agosto 2016 l’USSI ha correttamente tenuto conto dell’importo di fr. 4'325.-- nella voce sostanza imponibile in altri Cantoni (cfr. doc. 16). Visto quanto esposto, non si può che confermare il modus operandi dell’USSI e la censura si rivela infondata. 2.13.   A titolo abbondanziale si aggiunge, come peraltro già accennato dall’USSI nella loro risposta di causa, che l’unità di riferimento di RI 1 e __________ subisce comunque una “lacuna” di entrate anche se essi superano con il loro reddito disponibile residuale il limite annuo fissato del Dipartimento della sanità e della socialità. Questa problematica è da ricondurre alla circostanza che il costo effettivo del loro alloggio è di fr. 1'950.-- mensili, mentre per il calcolo del diritto all’assistenza il costo dell’alloggio è riconosciuto al massimo nella misura di fr. 1'250.--. Secondo l’art. 22 lett. c Las per il calcolo della spesa per l’alloggio, ai fini della determinazione della prestazione assistenziale, viene considerato l’affitto maggiorato delle spese accessorie effettive fino al massimale previsto dall’art. 9 Laps.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Per le unità di riferimento composte di due persone la spesa per l’alloggio è computata fino ad un massimo corrispondente all’importo riconosciuto dalla legislazione sulle prestazioni complementari all'AVS/AI per i coniugi, ossia fr. 15'000.-- all’anno, corrispondenti a fr. 1'250.-- al mese. L e Direttive della COSAS, al punto B.3 “Spese d’alloggio”, prevedono che: " (…) Un affitto già vigente giudicato eccessivamente elevato dev'essere finanziato fintanto che non venga trovata una soluzione abitativa più idonea ed economica. Gli uffici di assistenza sociale hanno il dovere di aiutare attivamente il beneficiario a trovare un alloggio più modesto. Le condizioni contrattuali di disdetta devono comunque essere rispettate. Prima di esigere un trasloco in un appartamento con affitto più conveniente, si dovrebbe esaminare attentamente ogni specifica situazione, tenendo presente il numero dei componenti del nucleo familiare, il loro radicamento nel quartiere, l’età dei beneficiario, nonché lo stato di salute e il grado d'integrazione sociale delle persone considerate. (…) Se un beneficiario dovesse rifiutarsi di traslocare in un alloggio a  buon mercato, gli potrebbe essere riconosciuto solo l’importo dell’abitazione più economica che gli viene proposta. Questa misura può condurre il beneficiario a non essere più in grado di assolvere ai doveri del suo contratto, fino ad incorrere allo sfratto. In questo caso,  però, il sostegno sociale sarà tenuto ad offrirgli un alloggio d'emergenza. Di fronte alla diversità regionale dei livelli degli affitti, per le spese di alloggio si raccomanda di fissare limiti massimi comunali o regionali, tenendo conto della dimensione delle economie domestiche.” Riguardo alla funzione delle disposizioni COSAS, cfr., in dottrina, C. Hänzi, Die Richtlinien der schweizerischen Konferenz für Sozialhilfe". Ed. Helbing Lichtenhahn, Basilea 2011, pag. 171-172. 2.14.   Come già accennato al considerando precedente, dal contratto di locazione del ricorrente e __________ si evince che la pigione dell’appartamento di __________ ammonta a fr. 1'950.-- mensili (cfr. doc. 22). Questo importo va maggiorato dalle spese accessorie effettiva, ossia di fr. 50.-- mensili. L’assistenza sociale ammette però per le unità di riferimento composte di due persone una spesa per l’alloggio fino ad un massimo corrispondente all’importo riconosciuto dalla legislazione sulle prestazioni complementari all'AVS/AI per i coniugi, ossia fr. 15'000.-- all’anno, corrispondenti a fr. 1'250.-- al mese. Visto quanto esposto, nella concreta evenienza risulta una “lacuna” di fr. 750.-- che non è rappresentata nel calcolo effettuato dall’USSI. Detto in altre parole, se il ricorrente e __________ vivessero in un appartamento con un affitto massimo di fr. 1'250.-- avrebbero ogni mese fr. 750.- in più a disposizione. 2.15.   Alla luce di quanto qui sopra esposto, la decisione su reclamo del 23 ottobre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