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42.2016.18 vom 22. April 2016</w:t>
      </w:r>
    </w:p>
    <w:p>
      <w:r>
        <w:t>TI Tribunale d'appello, 2016-04-22, IT</w:t>
      </w:r>
    </w:p>
    <w:p>
      <w:r>
        <w:rPr>
          <w:b/>
        </w:rPr>
        <w:t xml:space="preserve">Quelle: </w:t>
      </w:r>
      <w:r>
        <w:t>https://mcp.opencaselaw.ch/entscheid/ti_gerichte_42.2016.18_d20160422</w:t>
      </w:r>
    </w:p>
    <w:p>
      <w:r>
        <w:t>FR: TI_GERICHTE 42.2016.18 du 22 avril 2016</w:t>
      </w:r>
    </w:p>
    <w:p>
      <w:r>
        <w:t>IT: TI_GERICHTE 42.2016.18 del 22 aprile 2016</w:t>
      </w:r>
    </w:p>
    <w:p>
      <w:pPr>
        <w:pStyle w:val="Heading2"/>
      </w:pPr>
      <w:r>
        <w:t>Regeste</w:t>
      </w:r>
    </w:p>
    <w:p>
      <w:r>
        <w:t>USSI, nel calcolo delle prestaz. assistenziali ordinarie, non ha tenuto conto dell'ammortamento dell'auto. Non dimostrato che necessaria x l'attività indipendente. Inoltre assicurazione sociale non prende a carico le spese aziendali</w:t>
      </w:r>
    </w:p>
    <w:p>
      <w:pPr>
        <w:pStyle w:val="Heading2"/>
      </w:pPr>
      <w:r>
        <w:t>Erwägungen</w:t>
      </w:r>
    </w:p>
    <w:p>
      <w:r>
        <w:rPr>
          <w:b/>
        </w:rPr>
        <w:t>E. 2</w:t>
      </w:r>
    </w:p>
    <w:p>
      <w:r>
        <w:t>persone</w:t>
      </w:r>
    </w:p>
    <w:p>
      <w:r>
        <w:t>1'509.--</w:t>
      </w:r>
    </w:p>
    <w:p>
      <w:r>
        <w:rPr>
          <w:b/>
        </w:rPr>
        <w:t>E. 3</w:t>
      </w:r>
    </w:p>
    <w:p>
      <w:r>
        <w:t>persone</w:t>
      </w:r>
    </w:p>
    <w:p>
      <w:r>
        <w:t>1'834.--</w:t>
      </w:r>
    </w:p>
    <w:p>
      <w:r>
        <w:rPr>
          <w:b/>
        </w:rPr>
        <w:t>E. 4</w:t>
      </w:r>
    </w:p>
    <w:p>
      <w:r>
        <w:t>persone</w:t>
      </w:r>
    </w:p>
    <w:p>
      <w:r>
        <w:t>2'110.--</w:t>
      </w:r>
    </w:p>
    <w:p>
      <w:r>
        <w:rPr>
          <w:b/>
        </w:rPr>
        <w:t>E. 5</w:t>
      </w:r>
    </w:p>
    <w:p>
      <w:r>
        <w:t>persone</w:t>
      </w:r>
    </w:p>
    <w:p>
      <w:r>
        <w:t>2'386.--</w:t>
      </w:r>
    </w:p>
    <w:p>
      <w:r>
        <w:t>Per ogni persona</w:t>
      </w:r>
    </w:p>
    <w:p>
      <w:r>
        <w:t>supplementare</w:t>
      </w:r>
    </w:p>
    <w:p>
      <w:r>
        <w:t>+ 200.--</w:t>
      </w:r>
    </w:p>
    <w:p>
      <w:r>
        <w:t>Lespressione turnaround 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 www.tesionline.it).</w:t>
      </w:r>
    </w:p>
    <w:p>
      <w:r>
        <w:rPr>
          <w:b/>
        </w:rPr>
        <w:t>E. 8</w:t>
      </w:r>
    </w:p>
    <w:p>
      <w:r>
        <w:t>Cost. se opera delle distinzioni che nella situazione da regolamentare non appaiono giustificate da alcun motivo ragionevole oppure omette di fare delle distinzioni che invece si imporrebbero in base alle circostanze, ovvero se tratta in modo diverso ciò che è simile e in modo identico ciò che non lo è (cfr. STF 8C_867/2014 del 28 dicembre 2015 consid. 4.1.; STF 8C_605/2013 del 17 giugno 2014 consid. 3.2. ; DTF 136 I 297 consid. 6.1.). In casu è da escludere una qualsiasi disparità di trattamento ai sensi dell’art. 8 Cost. tra lavoratori indipendenti e dipendenti a seguito della mancata deduzione dell’ammortamento del valore dell’auto. Tra le spese professionali necessarie al conseguimento del reddito che i lavoratori dipendenti possono dedurre ai fini fiscali (art. 16, 24 LT) e che vengono computate pure nel calcolo dell’eventuale diritto all’assistenza sociale (art. 22 Las; 6Laps) non rientra infatti l’ammortamento del valore di strumenti di lavoro acquistati (cfr. art. 25 LT; Decreto esecutivo concernente l’imposizione delle persone fisiche valido per il periodo fiscale 2016 del 15 dicembre 2015; Decreto esecutivo concernente l’imposizione delle persone fisiche valido per il periodo fiscale 2017 del 30 novembre 2016). Alla luce di quanto appena esposto, questa Corte non può che confermare la decisione su reclamo del 22 giugno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