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42.2015.15 vom 30. September 2015</w:t>
      </w:r>
    </w:p>
    <w:p>
      <w:r>
        <w:t>TI Tribunale d'appello, 2015-09-30, IT</w:t>
      </w:r>
    </w:p>
    <w:p>
      <w:r>
        <w:rPr>
          <w:b/>
        </w:rPr>
        <w:t xml:space="preserve">Quelle: </w:t>
      </w:r>
      <w:r>
        <w:t>https://mcp.opencaselaw.ch/entscheid/ti_gerichte_42.2015.15</w:t>
      </w:r>
    </w:p>
    <w:p>
      <w:r>
        <w:t>FR: TI_GERICHTE 42.2015.15 du 30 septembre 2015</w:t>
      </w:r>
    </w:p>
    <w:p>
      <w:r>
        <w:t>IT: TI_GERICHTE 42.2015.15 del 30 settembre 2015</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Lart. 13 Laps, afferente allordine delle prestazioni, enuncia del resto che:</w:t>
      </w:r>
    </w:p>
    <w:p>
      <w:r>
        <w:t>"Le prestazioni sociali di complemento armonizzate vengono concesse nellordine in cui figurano allart. 2 cpv. 1, ritenuto che:</w:t>
      </w:r>
    </w:p>
    <w:p>
      <w:r>
        <w:t>a)   prima dellerogazione delle prestazioni sociali di complemento vanno erogate le partecipazioni al premio dellassicurazione contro le malattie a cui i membri dellunità di riferimento hanno diritto;</w:t>
      </w:r>
    </w:p>
    <w:p>
      <w:r>
        <w:t>b)   ogni prestazione va erogata sino al massimo dellimporto previsto dalla legge speciale prima di concedere una prestazione che segue nellordine;</w:t>
      </w:r>
    </w:p>
    <w:p>
      <w:r>
        <w:t>c)   nel calcolo di ogni prestazione vengono computate quelle che la precedono nellordine, anche se il titolare del diritto o unaltra persona dellunità di riferimento vi ha rinunciato."</w:t>
      </w:r>
    </w:p>
    <w:p>
      <w:r>
        <w:t>Inoltre giusta lart. 2 cpv. 1 Laps:</w:t>
      </w:r>
    </w:p>
    <w:p>
      <w:r>
        <w:t>"Sono prestazioni sociali ai sensi della legge:</w:t>
      </w:r>
    </w:p>
    <w:p>
      <w:r>
        <w:t>a)   la partecipazione al premio dellassicurazione contro le malattie previsto dalla Legge federale sullassicurazione malattie (LAMal) del 18 marzo 1994 e dalla relativa legge cantonale di applicazione;</w:t>
      </w:r>
    </w:p>
    <w:p>
      <w:r>
        <w:t>b)   laiuto sociale allo studio previsto dalla Legge della scuola del 1° febbraio 1990;</w:t>
      </w:r>
    </w:p>
    <w:p>
      <w:r>
        <w:t>c)   lassegno di studio previsto dalla Legge della scuola del 1° febbraio 1990;</w:t>
      </w:r>
    </w:p>
    <w:p>
      <w:r>
        <w:t>d)   lassegno complementare per il perfezionamento e la riqualificazione professionale previsto dalla Legge della scuola del 1° febbraio 1990;</w:t>
      </w:r>
    </w:p>
    <w:p>
      <w:r>
        <w:t>e)   lindennità straordinaria ai disoccupati prevista dalla Legge sul rilancio delloccupazione e sul sostegno ai disoccupati del 13 ottobre 1997;</w:t>
      </w:r>
    </w:p>
    <w:p>
      <w:r>
        <w:t>f)    lassegno integrativo previsto dalla Legge sugli assegni di famiglia dell11 giugno 1996;</w:t>
      </w:r>
    </w:p>
    <w:p>
      <w:r>
        <w:t>g)   lassegno di prima infanzia previsto dalla Legge sugli assegni di famiglia dell11 giugno 1996;</w:t>
      </w:r>
    </w:p>
    <w:p>
      <w:r>
        <w:t>h)   le prestazioni assistenziali previste dalla Legge sullassistenza sociale dell8 marzo 1971."</w:t>
      </w:r>
    </w:p>
    <w:p>
      <w:r>
        <w:t>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w:t>
      </w:r>
    </w:p>
    <w:p>
      <w:r>
        <w:t>2.3.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2.4</w:t>
      </w:r>
    </w:p>
    <w:p>
      <w:r>
        <w:t>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partner registrati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 premio medio di riferimento ;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w:t>
      </w:r>
    </w:p>
    <w:p>
      <w:r>
        <w:rPr>
          <w:b/>
        </w:rPr>
        <w:t>E. 3</w:t>
      </w:r>
    </w:p>
    <w:p>
      <w:r>
        <w:t>persone</w:t>
      </w:r>
    </w:p>
    <w:p>
      <w:r>
        <w:t>1818.--</w:t>
      </w:r>
    </w:p>
    <w:p>
      <w:r>
        <w:t>100.--</w:t>
      </w:r>
    </w:p>
    <w:p>
      <w:r>
        <w:t>1918.--</w:t>
      </w:r>
    </w:p>
    <w:p>
      <w:r>
        <w:rPr>
          <w:b/>
        </w:rPr>
        <w:t>E. 4</w:t>
      </w:r>
    </w:p>
    <w:p>
      <w:r>
        <w:t>persone</w:t>
      </w:r>
    </w:p>
    <w:p>
      <w:r>
        <w:t>2090.--</w:t>
      </w:r>
    </w:p>
    <w:p>
      <w:r>
        <w:t>100.--</w:t>
      </w:r>
    </w:p>
    <w:p>
      <w:r>
        <w:t>2190.--</w:t>
      </w:r>
    </w:p>
    <w:p>
      <w:r>
        <w:rPr>
          <w:b/>
        </w:rPr>
        <w:t>E. 5</w:t>
      </w:r>
    </w:p>
    <w:p>
      <w:r>
        <w:t>persone</w:t>
      </w:r>
    </w:p>
    <w:p>
      <w:r>
        <w:t>2364.--</w:t>
      </w:r>
    </w:p>
    <w:p>
      <w:r>
        <w:t>100.--</w:t>
      </w:r>
    </w:p>
    <w:p>
      <w:r>
        <w:t>2464.--</w:t>
      </w:r>
    </w:p>
    <w:p>
      <w:r>
        <w:rPr>
          <w:b/>
        </w:rPr>
        <w:t>E. 6</w:t>
      </w:r>
    </w:p>
    <w:p>
      <w:r>
        <w:t>persone</w:t>
      </w:r>
    </w:p>
    <w:p>
      <w:r>
        <w:t>2638.--</w:t>
      </w:r>
    </w:p>
    <w:p>
      <w:r>
        <w:t>100.--</w:t>
      </w:r>
    </w:p>
    <w:p>
      <w:r>
        <w:t>2738.--</w:t>
      </w:r>
    </w:p>
    <w:p>
      <w:r>
        <w:rPr>
          <w:b/>
        </w:rPr>
        <w:t>E. 7</w:t>
      </w:r>
    </w:p>
    <w:p>
      <w:r>
        <w:t>persone</w:t>
      </w:r>
    </w:p>
    <w:p>
      <w:r>
        <w:t>2912.--</w:t>
      </w:r>
    </w:p>
    <w:p>
      <w:r>
        <w:t>100.--</w:t>
      </w:r>
    </w:p>
    <w:p>
      <w:r>
        <w:t>3012.--</w:t>
      </w:r>
    </w:p>
    <w:p>
      <w:r>
        <w:t>Per ogni persona supplementare</w:t>
      </w:r>
    </w:p>
    <w:p>
      <w:r>
        <w:t>+ 272.--</w:t>
      </w:r>
    </w:p>
    <w:p>
      <w:r>
        <w:t>-</w:t>
      </w:r>
    </w:p>
    <w:p>
      <w:r>
        <w:t>+ 272.--</w:t>
      </w:r>
    </w:p>
    <w:p>
      <w:r>
        <w:t>B.   Supplemento per unità di riferimento di 3 o più persone di 16 anni o più (ripreso dalle precedenti raccomandazioni della COSAS).</w:t>
      </w:r>
    </w:p>
    <w:p>
      <w:r>
        <w:t>Per unità di riferimento con più di due persone di almeno 16 anni compiuti, gli importi di cui sopra sono integrati da un supplemento mensile assegnato alla terza e alle successive persone di 16 o più anni di età; l'importo di tale supplemento è di 210.-- fr./mese per ognuna di queste persone."</w:t>
      </w:r>
    </w:p>
    <w:p>
      <w:r>
        <w:t>(cfr. Direttive riguardanti gli importi delle prestazioni assistenziali per il 2011 in BU 1/2011 del 14 gennaio 2011 pag. 35-36).</w:t>
      </w:r>
    </w:p>
    <w:p>
      <w:r>
        <w:t>Tali importi sono stati mantenuti anche per il 2012, il 2013, il 2014 ed il 2015 (cfr. Direttive riguardanti gli importi delle prestazioni assistenziali per il 2012 del 16 dicembre 2011; Direttive riguardanti gli importi delle prestazioni assistenziali per il 2013 del 20 dicembre 2012; Direttive riguardanti gli importi delle prestazioni assistenziali per il 2014 del 1° gennaio 2014 e Direttive riguardanti gli importi delle prestazioni assistenziali per il 2015 pubblicate nel BU 9/2015 del 3 marzo 2015).</w:t>
      </w:r>
    </w:p>
    <w:p>
      <w:r>
        <w:t>"Il reddito disponibile residuale è quello definito dagli art. da 5 a 9 Laps, tenuto conto delle deroghe seguenti:</w:t>
      </w:r>
    </w:p>
    <w:p>
      <w:r>
        <w:t>a) Reddito computabile:</w:t>
      </w:r>
    </w:p>
    <w:p>
      <w:r>
        <w:t>1.  vengono computate le prestazioni ricevute in adempimento di un obbligo fondato sul diritto di famiglia se vengono corrisposte da una persona non facente parte dell unità di riferimento e dichiarate dal richiedente;</w:t>
      </w:r>
    </w:p>
    <w:p>
      <w:r>
        <w:t>2.la sostanza netta viene computata interamente nella misura in cui supera 100000 fr. per labitazione primaria e, per le altre forme di sostanza, 10000 fr. per una persona sola, 20000 per una coppia (coniugi opartner registrati oconviventi con figli in comune) e 2000 fr. per ogni figlio minorenne o maggiorenne non economicamente indipendente; eccezioni transitorie a questo computo possono essere concesse in casi di rigore, segnatamente se la sostanza computabile nel reddito fosse difficilmente liquidabile;</w:t>
      </w:r>
    </w:p>
    <w:p>
      <w:r>
        <w:t>3.  vengono interamente computati i redditi dei minorenni facenti parte dellunità di riferimento.</w:t>
      </w:r>
    </w:p>
    <w:p>
      <w:r>
        <w:t>4. Non vengono computate le entrate e le parti di sostanza, mobiliare e immobiliare, alle quali il richiedente ha rinunciato.</w:t>
      </w:r>
    </w:p>
    <w:p>
      <w:r>
        <w:t>b) Spesa vincolata:</w:t>
      </w:r>
    </w:p>
    <w:p>
      <w:r>
        <w:t>1.  non vengono computati rendite e oneri permanenti (art. 8 cpv. 1 lett. c) Laps);</w:t>
      </w:r>
    </w:p>
    <w:p>
      <w:r>
        <w:t>2.  non vengono computati gli alimenti di cui all art. 8 cpv. 1 lett. d) Laps;</w:t>
      </w:r>
    </w:p>
    <w:p>
      <w:r>
        <w:t>3.  non vengono computate le imposte di cui all art. 8 cpv. 1 lett. j) Laps;</w:t>
      </w:r>
    </w:p>
    <w:p>
      <w:r>
        <w:t>4.  le spese e gli interessi passivi sui debiti privati vengono riconosciuti solo fino all importo complessivo dei redditi della sostanza contemplati dagli art. 19 e 20 della LT (deroga all art. 8, cpv. 2, lett. a) Laps).</w:t>
      </w:r>
    </w:p>
    <w:p>
      <w:r>
        <w:t>c) Spesa per lalloggio</w:t>
      </w:r>
    </w:p>
    <w:p>
      <w:r>
        <w:t>Per il calcolo della spesa per lalloggio viene considerato laffitto maggiorato delle spese accessorie effettive fino al massimale previsto dallart. 9 Laps"</w:t>
      </w:r>
    </w:p>
    <w:p>
      <w:r>
        <w:t>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w:t>
      </w:r>
    </w:p>
    <w:p>
      <w:r>
        <w:t>L'art. 6 Laps regolamenta così il reddito computabile:</w:t>
      </w:r>
    </w:p>
    <w:p>
      <w:r>
        <w:t>"Il reddito computabile è costituito dai seguenti redditi:</w:t>
      </w:r>
    </w:p>
    <w:p>
      <w:r>
        <w:t>a) i redditi ai sensi degli art. 15-22 della Legge tributaria del 21 giugno 1994 (LT), ad esclusione dei redditi imposti separatamente in virtù degli art. 36 cpv. 1, 38 cpv. 1 e 57 cpv. 1 LT;</w:t>
      </w:r>
    </w:p>
    <w:p>
      <w:r>
        <w:t>b) ...</w:t>
      </w:r>
    </w:p>
    <w:p>
      <w:r>
        <w:t>c) ...</w:t>
      </w:r>
    </w:p>
    <w:p>
      <w:r>
        <w:t>d) i proventi ricevuti in virtù della legislazione federale sulle prestazioni complementari allassicurazione per la vecchiaia, i superstiti e linvalidità;</w:t>
      </w:r>
    </w:p>
    <w:p>
      <w:r>
        <w:t>e) tutte le rendite riconosciute ai sensi della Legge federale</w:t>
      </w:r>
    </w:p>
    <w:p>
      <w:r>
        <w:t>sullassicurazione militare federale del 19 giugno 1992;</w:t>
      </w:r>
    </w:p>
    <w:p>
      <w:r>
        <w:t>Fanno parte dei redditi computabili le entrate e le parti di sostanza, mobiliare e immobiliare, alle quali il richiedente ha rinunciato. (cpv. 2)</w:t>
      </w:r>
    </w:p>
    <w:p>
      <w:r>
        <w:t>Non sono considerati redditi le prestazioni sociali ai sensi della presente legge. (cpv. 3)</w:t>
      </w:r>
    </w:p>
    <w:p>
      <w:r>
        <w:t>Il Consiglio di Stato determina in quale misura vanno computati i redditi dei minorenni. (cpv. 4)"</w:t>
      </w:r>
    </w:p>
    <w:p>
      <w:r>
        <w:t>La spesa computabile è, invece, costituita dalla somma delle spese vincolate e dalla spesa per lalloggio (art. 7 Laps).</w:t>
      </w:r>
    </w:p>
    <w:p>
      <w:r>
        <w:t>Ai sensi dell'art. 8 Laps:</w:t>
      </w:r>
    </w:p>
    <w:p>
      <w:r>
        <w:t>"La spesa vincolata è costituita dalle seguenti spese:</w:t>
      </w:r>
    </w:p>
    <w:p>
      <w:r>
        <w:t>a) le spese ai sensi degli art. 25-31 LT. Il Consiglio di Stato determina in quale misura vengono computate le spese per il conseguimento del reddito delle persone con attività lucrativa salariata;</w:t>
      </w:r>
    </w:p>
    <w:p>
      <w:r>
        <w:t>b) gli interessi maturati su debiti ammessi in deduzione di cui allart. 32 cpv. 1 lett. a) LT;</w:t>
      </w:r>
    </w:p>
    <w:p>
      <w:r>
        <w:t>c) le rendite e gli oneri permanenti di cui allart. 32 cpv. 1 lett. b) LT;</w:t>
      </w:r>
    </w:p>
    <w:p>
      <w:r>
        <w:t>d) gli alimenti di cui allart. 32 cpv. 1 lett. c) LT;</w:t>
      </w:r>
    </w:p>
    <w:p>
      <w:r>
        <w:t>e) i versamenti, premi e contributi legali, statutari o regolamentari per acquisire diritti di cui allart. 32 cpv. 1 lett. d) e f) LT;</w:t>
      </w:r>
    </w:p>
    <w:p>
      <w:r>
        <w:t>f) i versamenti, premi e contributi per acquisire diritti contrattuali in forme riconosciute della previdenza individuale vincolata di cui</w:t>
      </w:r>
    </w:p>
    <w:p>
      <w:r>
        <w:t>allart. 32 cpv. 1 lett. e) LT versati da persone che esercitano</w:t>
      </w:r>
    </w:p>
    <w:p>
      <w:r>
        <w:t>unattività lucrativa indipendente o dipendente, se queste ultime non sono affiliate obbligatoriamente al secondo pilastro;</w:t>
      </w:r>
    </w:p>
    <w:p>
      <w:r>
        <w:t>g) i premi ordinari per lassicurazione obbligatoria contro le malattie</w:t>
      </w:r>
    </w:p>
    <w:p>
      <w:r>
        <w:t>vigenti al momento della richiesta, ma al massimo fino al raggiungimentodellimporto del premio medio di riferimento;</w:t>
      </w:r>
    </w:p>
    <w:p>
      <w:r>
        <w:t>h) i premi per lassicurazione della perdita di guadagno in caso di malattia o in caso di infortunio delle persone non obbligatoriamente assicurate;</w:t>
      </w:r>
    </w:p>
    <w:p>
      <w:r>
        <w:t>i)  ...</w:t>
      </w:r>
    </w:p>
    <w:p>
      <w:r>
        <w:t>j)   . (cpv. 1)</w:t>
      </w:r>
    </w:p>
    <w:p>
      <w:r>
        <w:t>Le spese di cui allart. 31 LT e gli interessi maturati sui debiti di cui al cpv. 1 lett. b) vengono riconosciuti sino ai seguenti importi:</w:t>
      </w:r>
    </w:p>
    <w:p>
      <w:r>
        <w:t>a) per le spese e gli interessi passivi sui debiti privati fino allimporto complessivo dei redditi della sostanza contemplati dagli art. 19 e 20 LT, maggiorato di 3000 fr.;</w:t>
      </w:r>
    </w:p>
    <w:p>
      <w:r>
        <w:t>b) per i debiti derivanti dallesercizio dellattività professionale, limporto effettivo degli interessi. (cpv. 2)"</w:t>
      </w:r>
    </w:p>
    <w:p>
      <w:r>
        <w:t>L'art.</w:t>
      </w:r>
    </w:p>
    <w:p>
      <w:r>
        <w:rPr>
          <w:b/>
        </w:rPr>
        <w:t>E. 9</w:t>
      </w:r>
    </w:p>
    <w:p>
      <w:r>
        <w:t>Laps riguarda la spesa per l'alloggio:</w:t>
      </w:r>
    </w:p>
    <w:p>
      <w:r>
        <w:t>"La spesa per lalloggio è computata fino ad un massimo di:</w:t>
      </w:r>
    </w:p>
    <w:p>
      <w:r>
        <w:t>a) per le unità                             importo riconosciuto dalla legislazione</w:t>
      </w:r>
    </w:p>
    <w:p>
      <w:r>
        <w:t>di riferimento composte         sulle prestazioni complementari</w:t>
      </w:r>
    </w:p>
    <w:p>
      <w:r>
        <w:t>da una persona:                     all'AVS/AI per la persona sola</w:t>
      </w:r>
    </w:p>
    <w:p>
      <w:r>
        <w:t>b) per le unità di                      importo riconosciuto dalla legislazione</w:t>
      </w:r>
    </w:p>
    <w:p>
      <w:r>
        <w:t>riferimento composte            sulle prestazioni complementari</w:t>
      </w:r>
    </w:p>
    <w:p>
      <w:r>
        <w:t>da due persone:  all'AVS/AI per i coniugi</w:t>
      </w:r>
    </w:p>
    <w:p>
      <w:r>
        <w:t>c)                                            per le unità di      importo riconosciuto dalla legislazione</w:t>
      </w:r>
    </w:p>
    <w:p>
      <w:r>
        <w:t>riferimento composte da       sulle prestazioni complementari</w:t>
      </w:r>
    </w:p>
    <w:p>
      <w:r>
        <w:t>più di due persone:    all'AVS/AI per i coniugi maggiorato</w:t>
      </w:r>
    </w:p>
    <w:p>
      <w:r>
        <w:t>del 20%</w:t>
      </w:r>
    </w:p>
    <w:p>
      <w:r>
        <w:t>(cpv. 1)</w:t>
      </w:r>
    </w:p>
    <w:p>
      <w:r>
        <w:t>Se una persona che non fa parte dellunità di riferimento convive con uno dei suoi membri, dalla spesa per lalloggio viene dedotta la quota-parte imputabile al convivente. (cpv. 2)"</w:t>
      </w:r>
    </w:p>
    <w:p>
      <w:r>
        <w:t>L'art. 5 cpv. 1 lett. b cifra 2 della Legge federale sulle prestazioni complementari (vLPC), in vigore fino al 31 dicembre 2007, prevedeva che i cantoni stabiliscono l'importo delle spese per pigione fino a concorrenza di un importo annuo, che a decorrere 1° gennaio 2001 corrisponde a fr. 13'200.-- per le persone sole e di fr. 15'000.-- per coniugi e le persone con figli.</w:t>
      </w:r>
    </w:p>
    <w:p>
      <w:r>
        <w:t>.</w:t>
      </w:r>
    </w:p>
    <w:p>
      <w:r>
        <w:t>Il 1° gennaio 2008 è entrata in vigore la nuova Legge federale sulle prestazioni complementari allassicurazione per la vecchiaia, i superstiti e linvalidità (LPC). Lart. 10 cpv. 1 lett. b LPC prevede che limporto massimo annuo riconosciuto delle spese per pigione è di fr. 13'200.-- per le persone sole (cifra 1) e di fr. 15'000.-- per coniugi e le persone con orfani che hanno diritto a una rendita o con figli che danno diritto a una rendita per figli dellAVS o dellAI (cifra 2).</w:t>
      </w:r>
    </w:p>
    <w:p>
      <w:r>
        <w:t>Secondo l'art. 2 della legge cantonale di applicazione i limiti di reddito e le altre disposizioni concernenti la determinazione della prestazione complementare annua sono quelli previsti dalla LPC</w:t>
      </w:r>
    </w:p>
    <w:p>
      <w:r>
        <w:t>Dai Decreti esecutivi concernenti la legge federale sulle prestazioni complementari all'AVS e all'AI del 3 dicembre 2013, rispettivamente del 26 novembre 2014 emerge che le deduzioni applicate per la pigione ammontano al massimo fr. 13200. per persona sola e fr. 15000. per coniugi.</w:t>
      </w:r>
    </w:p>
    <w:p>
      <w:r>
        <w:t>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w:t>
      </w:r>
    </w:p>
    <w:p>
      <w:r>
        <w:t>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w:t>
      </w:r>
    </w:p>
    <w:p>
      <w:r>
        <w:t>La sostanza nel regime Las viene considerata per un importo più elevato rispetto al conteggio nellambito Laps.</w:t>
      </w:r>
    </w:p>
    <w:p>
      <w:r>
        <w:t>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w:t>
      </w:r>
    </w:p>
    <w:p>
      <w:r>
        <w:t>Infine il limite per il riconoscimento delle spese e degli interessi sui debiti è inferiore a quello della Laps (cfr. art. 8 cpv. 1 lett. c, d e 8 cpv. 2 lett. a Laps; Messaggio n. 5250 dell8 maggio 2002, pag. 5).</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w:t>
      </w:r>
    </w:p>
    <w:p>
      <w:r>
        <w:t>"Lassistenza giudiziaria garantisce a chi non dispone dei mezzi per assumersi gli oneri della procedura o le spese di patrocinio la possibilità di tutelare i suoi diritti davanti alle autorità giudiziarie e amministrative.</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w:t>
      </w:r>
    </w:p>
    <w:p>
      <w:r>
        <w:t>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w:t>
      </w:r>
    </w:p>
    <w:p>
      <w:r>
        <w:t>Nel caso concreto, alla luce della Las e della giurisprudenza pubblicata nel sitowww.bger.ch, rispettivamentewww.sentenze.ti.ch, nonché nella Rivista ticinese di diritto, la presente vertenza appariva, dopo un esame forzatamente sommario, destinata all'insuccesso già al momento della presentazione dell'istanza, in quanto le prospettive di esito favorevole erano considerevolmente minori dei rischi di perdere la causa.</w:t>
      </w:r>
    </w:p>
    <w:p>
      <w:r>
        <w:t>In effetti, come esposto ai considerandi precedenti, dalla documentazione agli atti emerge in modo indubbio che la ricorrente dal gennaio 2015 non ha diritto a una prestazione assistenziale più elevata rispetto a quella riconosciutale dallUSSI, in quanto a titolo di spese connesse agli apprendistati svolti delle figlie non può essere computato più di quanto considerato dallamministrazione.</w:t>
      </w:r>
    </w:p>
    <w:p>
      <w:r>
        <w:t>Inoltre gli elementi fattuali della fattispecie non lasciano spazio al potere di apprezzamento del TCA.</w:t>
      </w:r>
    </w:p>
    <w:p>
      <w:r>
        <w:t>Di primo acchito, dunque, si doveva concludere che il procedimento non aveva probabilità di esito favorevole (cfr. DTF 125 II 265 consid. 4c; STCA 38.2007.100 del 25 febbraio 2008; STCA 35.2002.12 del 21 maggio 2002; STCA 35.2002.32 del 9 luglio 2002).</w:t>
      </w:r>
    </w:p>
    <w:p>
      <w:r>
        <w:t>In simili condizioni, non essendo realizzato nel caso in esame uno dei tre presupposti cumulativi, la domanda di gratuito patrocinio deve essere respinta.</w:t>
      </w:r>
    </w:p>
    <w:p>
      <w:r>
        <w:t>L'art. 37 LPGA, relativo alla rappresentanza e patrocinio nella procedura davanti all'assicuratore, applicabile in virtù del rinvio di cui agli art. 65 Las e 33 cpv. 3 Laps, prevede:</w:t>
      </w:r>
    </w:p>
    <w:p>
      <w:r>
        <w:t>"La parte può farsi rappresentare, se non deve agire personalmente, o farsi patrocinare nella misura in cui lurgenza di uninchiesta non lo escluda. (cpv. 1)</w:t>
      </w:r>
    </w:p>
    <w:p>
      <w:r>
        <w:t>Lassicuratore può esigere che il rappresentante giustifichi i suoi poteri con una procura scritta. (cpv. 2)</w:t>
      </w:r>
    </w:p>
    <w:p>
      <w:r>
        <w:t>Finché la parte non revochi la procura lassicuratore comunica con il rappresentante. (cpv. 3)</w:t>
      </w:r>
    </w:p>
    <w:p>
      <w:r>
        <w:t>Se le circostanze lo esigono, il richiedente può beneficiare di patrocinio gratuito. (cpv. 4)"</w:t>
      </w:r>
    </w:p>
    <w:p>
      <w:r>
        <w:t>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(cfr. SVR 2004 EL Nr. 4).</w:t>
      </w:r>
    </w:p>
    <w:p>
      <w:r>
        <w:t>Al riguardo cfr. anche STFA C 254/04 del 15 marzo 2005;Plädoyer 1/05 pag. 70-71;RtiD I-2005 N. 46 pag. 177.</w:t>
      </w:r>
    </w:p>
    <w:p>
      <w:r>
        <w:t>In casu, alla luce di quanto esposto al considerando precedente in merito al fatto che il procedimento non aveva probabilità di esito favorevole, a ragione lUSSI con la decisione su reclamo impugnata ha negato il gratuito patrocinio per la procedura di reclamo (cfr. doc.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