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42.2015.12 vom 17. Juni 2015</w:t>
      </w:r>
    </w:p>
    <w:p>
      <w:r>
        <w:t>TI Tribunale d'appello, 2015-06-17, IT</w:t>
      </w:r>
    </w:p>
    <w:p>
      <w:r>
        <w:rPr>
          <w:b/>
        </w:rPr>
        <w:t xml:space="preserve">Quelle: </w:t>
      </w:r>
      <w:r>
        <w:t>https://mcp.opencaselaw.ch/entscheid/ti_gerichte_42.2015.12</w:t>
      </w:r>
    </w:p>
    <w:p>
      <w:r>
        <w:t>FR: TI_GERICHTE 42.2015.12 du 17 juin 2015</w:t>
      </w:r>
    </w:p>
    <w:p>
      <w:r>
        <w:t>IT: TI_GERICHTE 42.2015.12 del 17 giugno 2015</w:t>
      </w:r>
    </w:p>
    <w:p>
      <w:pPr>
        <w:pStyle w:val="Heading2"/>
      </w:pPr>
      <w:r>
        <w:t>Regeste</w:t>
      </w:r>
    </w:p>
    <w:p>
      <w:r>
        <w:t>Ricorso x denegata giustizia per non avere deciso in materia di condono chiesto contestualm.a reclamo c/ l'ordine di restituzione di prest.assist.respinto. USSI ha agito correttam.Prima della crescita in giudicato relativa alla restituz.non è possibile pronunciarsi sulla domanda di condono.GP negato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20I02; STFA H 212/00 del 4 febbraio 2002; STFA H 220/00 del 29 gennaio 2002; STFA U 347/98 del 10 ottobre 2001, pubblicata in RDAT I-2002 pag. 190 seg.; STFA H 304/99 del 22 dicembre 2000; STFA I 623/98 del 26 ottobre 1999). Nel merito 2.2.   Secondo l'art. 2 della Legge di procedura per le cause davanti al Tribunale cantonale delle assicurazioni (Lptca) il ricorso può essere interposto anche se l'assicurato o l'autorità competente, nonostante la domanda dell'assicurato non emani una decisione oppure una decisione su opposizione o su reclamo.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DTF 131 V 407 consid. 1.1.; DTF 107 Ib 164 consid. 3b). Irrilevanti sono le ragioni che hanno determinato il diniego di giustizia. In particolare, secondo la giurisprudenza federale, non si può giustificare la lunghezza delle procedure invocando il sovraccarico di lavoro (cfr. SVR 1999 ALV Nr. 15). Decisivo per l'interessato è unicamente il fatto che l'autorità non abbia agito, rispettivamente, non abbia agito in maniera tempestiva (cfr.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delle parti e l'importanza della vertenza per l'interessato (cfr. STF 8C_194/2011 del 8 febbraio 2012 consid. 3.2.; STF 9C_841/2008 del 28 novembre 2008; STF 9C_624/2008 del 10 settembre 2008; DTF 130 I 332; DTF 129 V 411, DTF 125 V 188, DTF 1999 Ib 325; VPB 1983 n. 150 p. 527 e EuGRZ 1983 p. 483). Il principio secondo cui la procedura innanzi al Tribunale cantonale delle assicurazioni deve essere semplice e rapida (cfr. art. 15 cpv. 1 Lptca), è espressione di un principio generale del diritto delle assicurazioni sociali e vale, perciò, anche nell'ambito della procedura amministrativa (DTF 110 V 61 consid. 4;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Das Rechtsverzögerungsverbot nach Art. 4 BV, Tesi Berna 1985, pag. 78 e riferimenti alla giurisprudenza federale). In una sentenza 8C_681/2008 del 20 marzo 2009 relativa al diniego di giustizia nel contesto di una domanda di aiuto d'emergenza, il Tribunale federale si è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 194s., e U 268/01 dell’8 maggio 2003, consid. 4.1). Nella citata sentenza del 3 luglio 1992, l’Alta Corte federale non ha censurato il fatto che l’assicuratore LAINF aveva deciso di sottoporre una perizia medica di parte al proprio medico fiduciario e, in base alle sue raccomandazioni, aveva disposto degli ulteriori accertamenti (consid. 5b). 2.3.   Nella concreta evenienza la domanda di condono risale al 10 febbraio 2015 ed è stata formulata dalla ricorrente contestualmente al reclamo interposto contro l’ordine di restituzione di prestazioni assistenziali percepite dal settembre al dicembre 2014 emesso dall’USSI il 20 gennaio 2015 (cfr. consid. 1.1.). L’USSI ha indicato che deciderà in merito alla richiesta di condono quando la decisione relativa al rimborso delle prestazioni assistenziali sarà cresciuta in giudicato (cfr. doc. H; II). Il modo di procedere dell’amministrazione è corretto. In effetti,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8C_617/2009 del 5 novembre 2009; STF 8C_130/2008 dell'11 luglio 2008 consid. 2.2.). Al riguardo cfr. pure STCA 39.2014.5 del 29 settembre 2014 consid. 2.13.; STCA 42.2013.13 del 17 aprile 2014 consid. 2.17.; STCA 36.2014.92 del 24 dicembre 2014 consid. 2.3. In simili circostanze, alla luce dei principi evocati al considerando 2.4., il TCA ritiene che l’USSI non si sia reso colpevole di un ritardo ingiustificato nei confronti dell’insorgente. In concreto non ricorrono, pertanto, gli estremi per riconoscere una denegata/ritardata giustizia. Questo Tribunale raccomanda comunque all’amministrazione di emanare celermente la decisione relativa alla domanda di condono non appena sarà passata in giudicato la procedura di restituzione. 2.4.   Deve ancora essere verificato se la ricorrente può essere posta al beneficio del gratuito patrocinio relativamente al ricorso per denegata giustizia (cfr. doc. I; consid. 1.2.).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pubblicata nel sito www.bger.ch , rispettivamente www.sentenze.ti.ch ,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una domanda di condono di prestazioni richieste in restituzione può essere esaminata soltanto allorché la relativa procedura di rimborso è cresciuta in giudicato (cfr. consid. 2.3.).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per quanto attiene al ricorso per denegata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