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42.2014.17 vom 16. März 2015</w:t>
      </w:r>
    </w:p>
    <w:p>
      <w:r>
        <w:t>TI Tribunale d'appello, 2015-03-16, IT</w:t>
      </w:r>
    </w:p>
    <w:p>
      <w:r>
        <w:rPr>
          <w:b/>
        </w:rPr>
        <w:t xml:space="preserve">Quelle: </w:t>
      </w:r>
      <w:r>
        <w:t>https://mcp.opencaselaw.ch/entscheid/ti_gerichte_42.2014.17</w:t>
      </w:r>
    </w:p>
    <w:p>
      <w:r>
        <w:t>FR: TI_GERICHTE 42.2014.17 du 16 mars 2015</w:t>
      </w:r>
    </w:p>
    <w:p>
      <w:r>
        <w:t>IT: TI_GERICHTE 42.2014.17 del 16 marzo 2015</w:t>
      </w:r>
    </w:p>
    <w:p>
      <w:pPr>
        <w:pStyle w:val="Heading2"/>
      </w:pPr>
      <w:r>
        <w:t>Regeste</w:t>
      </w:r>
    </w:p>
    <w:p>
      <w:r>
        <w:t>USSI,in virtù dell'esito di accert.esperiti sulla base STCA 42.2012.3(accoglim.parz.ric.),emesso dec.con cui l'importo di AS(da 2007 a 2009)da restituire è stato ridotto.Con ric.c/dec.su recl.fatto valere perenzione.Però solo da 12/2010 amm.disponeva degli elem.necess.x emettere OR.Ric.respinto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Giusta l’art. 26 cpv. 2 Laps, applicabile in casu in virtù del rinvio di cui all’art. 36 Las (cfr. consid. 2.7.), il diritto di esigere la restituzione è perento dopo un anno dal momento in cui l’organo amministrativo competente ha avuto conoscenza dell’indebito ma, in ogni caso, dopo cinque anni dal pagamento della prestazione. Il tenore di tale disposto è analogo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Secondo l'art. 25 LPGA le prestazioni indebitamente riscosse devono essere restituite (cpv. 1, prima frase).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 I termini enunciati sono termini di perenzione (V. DTF 133 V 579 consid. 4.1 pag. 582). Nella sentenza 8C_64/2011 del 7 novembre 2011 citata sia dal patrocinatore del ricorrente che dall'USSI il Tribunale federale ha sviluppato le seguenti considerazioni: " (…) 2.2 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(di regola viene considerato adeguato un termine di 4 mesi: DLA 2004 n. 31 pag. 285 [C 24/02] consid. 3.2).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Questo Tribunale ha inoltre pure avuto modo di precisare che a prescindere da una eventuale violazione del principio inquisitorio, il termine annuo di perenzione di cui all'art. 25 cpv. 2 LPGA non può cominciare a decorrere prima che le prestazioni siano state decise ed erogate (SVR 2010 EL n. 12 pag. 35 [9C_795/2009]). Secondo giurisprudenza, esso termine viene salvaguardato con la resa del progetto di liquidazione del caso ( DTF 133 V 579 consid. 4.3.1 pag. 584; 119 V 431 consid. 3c pag. 434; SVR 2011 IV n. 52 pag. 155 [8C_699/2010] consid. 2). Infine, è utile osservare che secondo un principio posto dalla giurisprudenza,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 DTF 110 V 306 seg.). (…)" In una sentenza 9C_503/2010 del 26 agosto 2011 il Tribunale federale ha confermato una sentenza del TCA che aveva dichiarato perente una richiesta di restituzione di indennità di perdita di guadagno per chi presta servizi e in caso di maternità rilevando: " (…) 4. 4.1 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(art. 36 LPPC) - degli interventi ai sensi dell'art. 27 LPPC,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(in casu: 30 sui 58 giorni complessivi attestati e indennizzati)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gli anni 2004 e 2005 sarebbero terminati ben prima del 2 febbraio 2007, data dalla quale è stato fatto decorrere, al più tardi, il termine annuo di perenzione dell'art. 25 cpv. 2 LPGA. Ma anche qualora si fosse voluto fare decorrere l'inizio del termine di perenzione da un periodo successivo al 2 febbraio 2007, la Sezione del militare e della protezione della popolazione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N._________ a conferma dell'esattezza dei dati risultava che il lavoro di verifica compiuto dalla SMPP era già terminato il 20 aprile 2007. In ogni caso, dunque, al momento della decisione del 16 maggio 2008 il diritto alla restituzione sarebbe già stato perento. (…)" In una sentenza 9C_369/2013 del 2 settembre 2014 pubblicata in SVR 2015 AHV N. 2 il Tribunale federale ha rilevato: "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139 V 6 E. 4.1 S. 8; 124 V 380 E. 1 S. 382; 122 V 270 E. 5a S. 274; 119 V 431 E. 4a S. 433; Urteil 9C_454/2012 vom 18. März 2013 E. 4, nicht publ. In: BGE 139 V 106, aber in: SVR 2013, IV Nr. 24, S. 66; Ulrich Meyer , Die Rückerstattung von Sozialversicherungsleistungen, in: Ausgewählte Schriften, Thomas Gächter [Hrsg.], 2013, S. 141 ff., 147 f.)." Quello dell’art. 26 cpv. 2 Laps, è un termine di perenzione (cfr. STCA 39.2011.8 del 29 settembre 2011 consid. 2.10.; STCA 39.2008.2 del 29 maggio 2008 consid. 2.9.; sull'art. 25 LPGA cfr. SVR 2015 AHV N. 5; DTF 139 V 1; DTF 138 V 74). I termini di perenzione non possono essere né interrotti né sospesi e devono essere applicati d’ufficio (cfr. DTF 111 V 135, consid. 3b, pag. 136; cfr. pure T. Locher, Grundriss des Sozialversicherungsrechts, Ed. Stämpfli, Berna 1997, N. 36-37, pag. 59-60 e N. 12-13, pag. 311-312; STF 9C_320/2014 del 29 gennaio 2015). Il Tribunale federale, in una sentenza 8C_383/2007 del 15 luglio 2008, ha ribadito che la perenzione va esaminata d’ufficio . Al riguardo l’Alta Corte si è così espressa: " (…) La perenzione provoca l'estinzione del diritto (Kieser, ATSG-Kommentar, Zurigo/Basilea/Ginevra 2003, no. 9 all'art. 24; Maeschi, Kommentar zum Bundesgesetz über die Militärversicherung [MVG], Berna 2000, no. 31 all'art. 15 LAM, pag. 147), non solo la possibilità di porlo in esecuzione. Essa va quindi esaminata d'ufficio, indipendentemente da un'eventuale eccezione ( DTF 113 V 180 consid. 2 pag. 181; 112 V 6 consid. 4c pag. 8; 111 V 135 consid. 3b pag. 136).“ 2.3.   Nella presente fattispecie, come già ricordato dal TCA nella sentenza 42.2012.3 del 15 aprile 2013 al consid. 2.9, l'USSI è venuto a conoscenza di possibili entrate dell’insorgente tramite il Comune di __________ - Ufficio intervento sociale, il quale il 12 febbraio 2009 ha segnalato che da una dichiarazione della moglie è emerso che il medesimo lavora e insegna la cultura __________ in varie strutture. Inoltre il Comune di __________ ha allegato un verbale di udienza del 18 novembre 2008 allestito dal Pretore di __________ contestualmente alla causa di divorzio tra RI 1 e __________ da cui risulta pure che il ricorrente riceverebbe dei soldi per la sua attività di __________ (cfr. doc. 461; 541). Il 9 marzo 2009 l'amministrazione ha poi chiesto al patrocinatore dell’insorgente di produrre tutta la documentazione presentata al Pretore a comprova dei redditi percepiti da RI 1, in particolare da marzo 2007 (cfr. doc. 459). Tale richiesta è poi stata rinnovata il 6 maggio 2009 (cfr. doc. 450). L’iter relativo agli accertamenti per stabilire quale importo è stato indebitamente percepito dal ricorrente a titolo di prestazioni assistenziali nel periodo dal febbraio 2007 al febbraio 2009 è stato lungo, vista anche la diversa tipologia di entrate (i redditi dal lavoro, cfr. consid. 2.12 della sentenza citata e, soprattutto, gli ulteriori versamenti a suo favore risultanti dai conti bancari __________ e __________, illustrati al consid. 2.13 e, successivamente, esaminati in modo analitico dal TCA ai considerandi successivi, consid. 2.14 - 2.20). Il 3 dicembre 2010, l'avv. RA 1, dopo avere confermato di rappresentare il ricorrente si è così espresso: " Il signor RI 1 mi ha incaricato di rispondere alla vostra richiesta. Produco pertanto quanto fattomi pervenire e meglio come segue: · estratto conto __________ gennaio 2007 / aprile 2009 · copia ordine 19.5.2009 di chiusura del conto __________ · estratto conto __________ · estratto conto __________ novembre 2006 / ottobre 2008 Ritengo che, per ogni altra eventuale spiegazione e completazione, possa essere opportuno indire un incontro presso i vostri uffici." (cfr. doc. 61) Il patrocinatore di RI 1 ha allegato numerosissimi documenti (cfr. allegati doc. 62-151). Soltanto a partire da quel momento l'USSI disponeva di tutti gli elementi necessari per poter emettere l'ordine di restituzione. La decisione di restituzione è stata emessa il 23 febbraio 2011 (cfr. doc. 197), rispettando così il termine annuale di perenzione (cfr. consid. 2.2), contrariamente a quanto sostenuto dal rappresentante di RI 1. Siccome il diritto di chiedere la restituzione non è dunque perento (cfr. STCA 42.2013.13 del 17 aprile 2014 e consid. 2.13), la decisione su reclamo dell'8 ottobre 2014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