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42.2013.28 vom 27. Februar 2014</w:t>
      </w:r>
    </w:p>
    <w:p>
      <w:r>
        <w:t>TI Tribunale d'appello, 2014-02-27, IT</w:t>
      </w:r>
    </w:p>
    <w:p>
      <w:r>
        <w:rPr>
          <w:b/>
        </w:rPr>
        <w:t xml:space="preserve">Quelle: </w:t>
      </w:r>
      <w:r>
        <w:t>https://mcp.opencaselaw.ch/entscheid/ti_gerichte_42.2013.28</w:t>
      </w:r>
    </w:p>
    <w:p>
      <w:r>
        <w:t>FR: TI_GERICHTE 42.2013.28 du 27 février 2014</w:t>
      </w:r>
    </w:p>
    <w:p>
      <w:r>
        <w:t>IT: TI_GERICHTE 42.2013.28 del 27 febbraio 2014</w:t>
      </w:r>
    </w:p>
    <w:p>
      <w:pPr>
        <w:pStyle w:val="Heading2"/>
      </w:pPr>
      <w:r>
        <w:t>Regeste</w:t>
      </w:r>
    </w:p>
    <w:p>
      <w:r>
        <w:t>Negato AS a proprietario di 2 auto + propr.fondiaria.Questione se auto usata x scopi profess.non vada computata può restare insoluta.Anche conteggiando solo auto usata prevalent.x scopi privati e propr.immob.(indip.che si tratti di terreno non edificab.),ricorr.non presenta alcuna lacuna di redd.Las</w:t>
      </w:r>
    </w:p>
    <w:p>
      <w:pPr>
        <w:pStyle w:val="Heading2"/>
      </w:pPr>
      <w:r>
        <w:t>Erwägungen</w:t>
      </w:r>
    </w:p>
    <w:p>
      <w:r>
        <w:rPr>
          <w:b/>
        </w:rPr>
        <w:t>E. 1</w:t>
      </w:r>
    </w:p>
    <w:p>
      <w:r>
        <w:t>una prestazione assistenziale. 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3</w:t>
      </w:r>
    </w:p>
    <w:p>
      <w:r>
        <w:t>persone 1818.-- 100.-- 1918.--</w:t>
      </w:r>
    </w:p>
    <w:p>
      <w:r>
        <w:rPr>
          <w:b/>
        </w:rPr>
        <w:t>E. 4</w:t>
      </w:r>
    </w:p>
    <w:p>
      <w:r>
        <w:t>persone 2090.-- 100.-- 2190.--</w:t>
      </w:r>
    </w:p>
    <w:p>
      <w:r>
        <w:rPr>
          <w:b/>
        </w:rPr>
        <w:t>E. 5</w:t>
      </w:r>
    </w:p>
    <w:p>
      <w:r>
        <w:t>persone 2364.-- 100.-- 2464.--</w:t>
      </w:r>
    </w:p>
    <w:p>
      <w:r>
        <w:rPr>
          <w:b/>
        </w:rPr>
        <w:t>E. 6</w:t>
      </w:r>
    </w:p>
    <w:p>
      <w:r>
        <w:t>persone 2638.-- 100.-- 2738.--</w:t>
      </w:r>
    </w:p>
    <w:p>
      <w:r>
        <w:rPr>
          <w:b/>
        </w:rPr>
        <w:t>E. 7</w:t>
      </w:r>
    </w:p>
    <w:p>
      <w:r>
        <w:t>persone 2912.-- 100.-- 3012.-- Per ogni persona supplementare + 272.--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per la terza persona di 16 o più anni di età e per le successive: l'importo di tale supplemento è di 210.-- fr./mese per ognuna di queste persone." (cfr. Direttive riguardanti gli importi delle prestazioni assistenziali per il 2011 in BU 1/2011 del 14 gennaio 2011 pag. 35-36) Tali importi sono stati mantenuti anche per il 2012 e il 2013 (cfr. Direttive riguardanti gli importi delle prestazioni assistenziali per il 2012 del 16 dicembre 2011 e Direttive riguardanti gli importi delle prestazioni assistenziali per il 2013 del 20 dicembre 2012).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Giova rilevare che l’art. 6 cpv. 1 lett. f Laps è stato modificato con effetto a decorrere dal 15 febbraio 2013. Il nuovo tenore è il seguente: "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(cfr. BU 9/2013 del 15 febbraio 2013)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8 cpv. 1 lett. g Laps è stato modificato a seguito del sostanziale mutamento che ha interessato il sistema di riduzione dei premi dell’assicurazione obbligatoria delle cure medico sanitarie (RIPAM), entrato in vigore il 1° gennaio 2012 (Bollettino Ufficiale 2010, 297). Il Consiglio di Stato e il Gran Consiglio hanno voluto rendere il sistema della RIPAM affine ai criteri scelti dalla Laps e quindi distanziarsi dal reddito imponibile cantonale quale base per la determinazione del diritto al sussidio per approdare al criterio del reddito disponibile (cfr. STCA 36.2012.14 del 3 settembre 2012, destinata alla pubblicazione in RtiD I-2013). Il nuovo tenore, valido dal 1° gennaio 2012, è il seguente: " g) i premi ordinari per l’assicurazione obbligatoria contro le malattie vigenti al momento della richiesta, ma al massimo fino al raggiungimento dell’importo del premio medio di riferimento.”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2.6.   L’USSI, con decisione del 19 agosto 2013, confermata dalla decisione su reclamo del 26 novembre 2013, ha negato al ricorrente il diritto a una prestazione assistenziale, in quanto il reddito disponibile residuale della sua unità di riferimento superava il limite annuo fissato dal Dipartimento della sanità e della socialità, in particolare tramite il computo della sostanza mobiliare di sua proprietà, e meglio del valore di due autovetture (cfr. doc. A11 = 22; A1; consid. 1.1.). L’insorgente ha contestato il modo di procedere dell’amministrazione, segnatamente il conteggio del valore dei due veicoli. Egli ha indicato, da una parte, di non capire come un’auto possa generare reddito, dall’altra, che, siccome uno dei due veicoli è l’auto aziendale da lui utilizzata per ottenere un reddito da lavoro come taxista, il reddito viene computato due volte. Il ricorrente ha altresì rilevato che il terreno di __________ non è edificabile e causa soltanto spese aggiuntive (cfr. I). 2.7.   Chiamata a pronunciarsi in merito al caso di specie, questa Corte ritiene, innanzitutto, utile evidenziare, che nell’ambito dell’assistenza sociale vige il principio della sussidiarietà di cui agli art. 2 Las e 13 Laps (cfr. consid. 2.3.).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A tale proposito cfr. DTF 137 V 143 consid. 3.7.1.; STFA K 22/04 del 22 ottobre 2004 consid. 2.3.1., pubblicata in RAMI 2005 pag. 30. 2.8.   Il TCA ricorda inoltre che ai sensi dell’art. 22 Las il reddito disponibile residuale è quello definito dagli art. 5 a 9 Laps tenuto conto delle deroghe previste dal medesimo disposto di legge (cfr. consid. 2.5.). In particolare, a differenza di quanto stabilito all’art. 6 cpv. 1 lett. f Laps secondo cui il reddito computabile è costituito da 1/15 della sostanza mobiliare e immobiliare imponibile (cfr. consid. 2.5.), l’art. 22 lett. a cfr. 2 Las prevede che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L’art. 41 cpv. 1 Legge tributaria (LT), a cui fa riferimento la Laps alla quale la Las rinvia, enuncia, poi, che sono imponibili tutti gli attivi mobiliari e immobiliari. Le direttive della Conferenza svizzera delle istituzioni dell’azione sociale (COSAS) del 2005 al punto E.2. aggiornato nel dicembre 2012, relativo alla sostanza enunciano, in particolare, che: " E.2 Sostanza E.2.1 Principi e quota esente In conformità al principio di sussidiarietà, l’utilizzo e l’esaurimento di averi bancari e postali, azioni, obbligazioni, crediti, oggetti di valore, beni immobiliari e altri patrimoni, sono la premessa per la concessione di un aiuto finanziario. ■ Effetti personali e mobilio Gli effetti personali e il mobilio sono la parte della proprietà che non può essere né toccata né presa in considerazione per il calcolo della presta­zione di sostegno sociale in quanto beni non pignorabili secondo la legge federale sull’esecuzione e il fallimento. ■ Altra sostanza Dal punto di vista del sostegno sociale i valori monetari, i titoli, i veicoli privati e i beni sui quali il richiedente ha un diritto di proprietà, sono considerati quale sostanza. Per il calcolo della prestazione di sostegno sociale, tuttavia, si terrà conto solo degli averi effettivamente disponibili o realizzabili in breve tempo. Gli uffici del sostegno sociale possono rinunciare a chiedere la realizzazione della sostanza nel caso in cui: ■ per il beneficiario e/o la sua famiglia ne sortirebbe una situazione di eccessivo rigore; ■ la realizzazione fosse svantaggiosa (effetto economico poco rilevante); ■ il provvedimento non fosse adeguato per altre ragioni. " Inoltre le direttive COSAS al punto E.2.2, aggiornato nel dicembre 2008 e concernente il computo della sostanza immobiliare, prevedono che: " E.2.2 Sostanza immobiliare Non esiste, per principio, il diritto a conservare una sostanza immobiliare. I beni immobiliari (in particolare gli stabili e le parti di comproprietà) in possesso di un beneficiario sono considerati quali risorse private del medesimo. I proprietari di beni immobiliari non devono essere soggetti a un trattamento diverso rispetto ai detentori di risparmi o titoli. Per quanto concerne invece uno stabile occupato dal beneficiario stesso, si rinuncerà ad esigerne la vendita, qualora le condizioni per mantenere tale alloggio dovessero essere equivalenti o più favorevoli di quelle di mercato (v. capitolo B.3). Nei casi in cui la prestazione di sostegno sociale fosse poco rilevante, o se l’intervento rappresenta un contributo solo momentaneo, o se il rica­vato dalla vendita del bene fosse troppo esiguo e così via, l’autorità del sostegno sociale potrà ugualmente rinunciare a esigere la liquidazione del bene immobile. I beni immobiliari situati all’estero sono da considerare, per principio, come quelli che si trovano in Svizzera. Se l’autorità competente giudica opportuno che il beneficiario possa conservare l’immobile, si tratterà d’iscrivere un’ipoteca legale esigibile al momento dell’alienazione dell’immobile o del decesso del beneficiario.” 2.9.   Nel caso di specie dalla documentazione agli atti emerge, da un lato, che RI 1 è proprietario di due autovetture, e meglio una __________, messa in circolazione nell’ottobre 2007 e valutata il 16 ottobre 2013 dalla __________, sotto riserva del test officina, fr. 6'366.-- (cfr. doc. A9), nonché una __________ messa in circolazione nell’aprile 2010 e valutata sempre il 16 ottobre 2013 dalla __________, sotto riserva del test officina, fr. 20’000.-- (cfr. doc. A10). Dall’altro, che il ricorrente ha iniziato l’attività di taxista affiliato a una società (__________ di __________), ma che dopo circa un anno ha continuato privatamente, in quanto i guadagni reali erano ben inferiori a quanto prospettato dalla società in questione (cfr. doc. 53). In effetti la Cassa cantonale di compensazione AVS/AI/IPG, il 3 marzo 2010, ha affiliato l’insorgente nella categoria indipendente dal 1° febbraio 2010 (cfr. doc. 55). Risulta, inoltre, che il medesimo, avendo solo la licenza B, può lavorare solo su chiamata e non può aspettare i clienti nelle zone apposite per i taxi (cfr. doc. 53). Al riguardo nel ricorso RI 1 ha precisato di aver chiesto nel 2011 una licenza al Comune di __________, il quale non gli ha però ancora risposto (cfr. doc. I). Il ricorrente, nel reclamo interposto contro la decisione del 19 agosto 2013 con cui gli è stata negata una prestazione assistenziale, ha pure affermato che “… il valore dell’auto che utilizzo di più per il lavoro è di fr. 6000.- e l’altra, più privatamente, è di fr. 20'000.-” (Doc. A4). 2.10.   Come visto sopra, le direttive COSAS al punto E.2.1. sanciscono, in particolare, che dal punto di vista del sostegno sociale i valori monetari, i titoli, i veicoli privati e i beni sui quali il richiedente ha un diritto di proprietà, sono considerati quale sostanza sempre che siano effettivamente disponibili o realizzabili in breve tempo (cfr. consid. 2.8.). Il ricorrente ha asserito di utilizzare una delle due vetture, e più precisamente quella stimata a fr. 20'000.--, ossia la __________, prevalentemente per scopi privati (cfr. doc. A4; A10; consid. 2.9.). Pertanto il valore di tale veicolo pari a fr. 20'000.-- va computato nel calcolo volto a stabilire se l’insorgente ha diritto o meno a una prestazione assistenziale. Del resto è la legge stessa che all’art. 22 Las, con rinvio agli art. 5 a 9 Laps, prevede che per determinare il reddito disponibile residuale – che è pari alla differenza tra la somma dei redditi computabili e la somma delle spese computabili delle persone componenti l’unità di riferimento – e quindi il diritto a un’eventuale prestazione assistenziale si debba tener conto anche della sostanza sia mobiliare che immobiliare (cfr. consid. 2.5.; 2.8.). Il principio della computabilità della sostanza si fonda peraltro sul carattere sussidiario delle prestazioni assistenziali (cfr. consid. 2.7.; STCA 42.2012.14 del 20 febbraio 2013 consid. 2.10.). In simili condizioni, non si giustifica, quindi, la perplessità espressa nel ricorso di non capire come un’auto possa generare reddito (cfr. doc. I). L’insorgente ha, altresì, asserito che, se avesse concluso un contratto di leasing dell’automobile, invece di averla acquistata, il valore della stessa non sarebbe considerato (cfr. doc. I). In proposito va innanzitutto osservato che ragionare con un’ipotesi che non trova corrispondenza nella realtà dei fatti non ha alcun significato ai fini della risoluzione della presente vertenza. In ogni caso il TCA evidenzia, per inciso, che il ricorrente, nel caso in cui avesse stipulato un leasing per l’auto privata, dovrebbe far fronte alle rate del medesimo. Queste ultime non andrebbero, però, considerate quali costi nel calcolo dell’assistenza sociale, non concernendo delle spese computabili ai sensi della Las e della Laps (cfr. consid. 2.5.). Di conseguenza, da un lato, nella sostanza non verrebbe computato il valore di tale veicolo, dall’altro, però, l’insorgente dovrebbe comunque sostenere un costo ulteriore (rate leasing) non assunto dall’USSI. Per quanto concerne l’entità del valore dell’auto usata per scopi privati __________, il ricorrente ha addotto che la vettura è soggetta nel tempo a un deprezzamento e che potrebbe essere proprietario di un’auto del valore di fr. 1.-- (cfr. doc. I). Al riguardo giova rilevare, in primo luogo, che il potere cognitivo del giudice delle assicurazioni sociali è delimitato temporalmente dalla data dell’emanazione della decisione su reclamo impugnata che in concreto è del 26 novembre 2013 (cfr. STF 9C_5/2012 del 31 gennaio 2012; DTF 132 V 215 consid. 3.1.1; STFA I 525/04 del 15 aprile 2005 consid. 2). In secondo luogo, che il valore dell’auto __________ nell’ottobre 2013 era in ogni caso di fr. 20'000.--, come risulta dalla valutazione effettuata dalla __________ sotto riserva del test officina (cfr. doc. A10). Ne discende che nel calcolo dell’assistenza sociale occorre considerare l’importo di fr. 20'000.-- a titolo di veicolo a motore usato prevalentemente per scopi privati. 2.11.   Le direttive COSAS al p.to E.2.1. enunciano, inoltre, che gli effetti personali e il mobilio sono la parte della proprietà che non può essere né toccata né presa in considerazione per il calcolo della prestazione di sostegno sociale in quanto beni non pignorabili secondo la legge federale sull’esecuzione e il fallimento (cfr. consid. 2.8.). In effetti giusta l’art. 92 cpv. 1 cifre 1 LEF, relativo ai beni impignorabili, sono impignorabili, in particolare, gli oggetti destinati all'uso personale del debitore o della sua famiglia, quali abiti, effetti personali, utensili, utensili di casa, mobili o altri oggetti, in quanto indispensabili a garantire una qualità minima di vita. L’art. 92 cpv. 1 cifra 3 LEF contempla pure l’impignorabilità de gli arnesi, degli apparecchi, degli strumenti e dei libri, in quanto siano necessari al debitore e alla sua famiglia per l'esercizio della professione. Pertanto, volendo applicare le direttive COSAS per analogia ai veicoli utilizzati per la propria professione, risulterebbe che il valore degli stessi non sarebbe computabile quale sostanza ai fini della determinazione del diritto a una prestazione assistenziale, poiché, servendo per l’esercizio della propria attività lavorativa ed essendo conseguentemente impignorabili ai sensi dell’art. 92 cpv. 1 cifra 3 LEF (cfr. STF 2P.267/2004 del 4 gennaio 2005 consid. 3.2.), non ne può essere pretesa la realizzazione. In concreto tale questione non merita, tuttavia, di ulteriori approfondimenti, poiché anche non conteggiando il valore dell’automobile utilizzata per scopi professionali di fr. 6'366.-- (cfr. doc. A9), né l’attivo mobiliare dell’azienda di fr. 12’788.--(cfr. doc. A13), bensì soltanto il valore dell’automobile utilizzata per scopi privati, la proprietà fondiaria e i titoli e altri collocamenti di capitali (cfr. doc. A23), il ricorrente non ha comunque diritto a una prestazione assistenziale, come verrà più dettagliatamente esposto nel considerando seguente. Per quel che attiene alla proprietà fondiaria, è utile rilevare che dalle carte processuali si evince che il ricorrente è proprietario del fondo RFD __________ sito a __________ (cfr. doc. 59) il cui valore di stima corrisponde a complessivi fr. 5'318.-- (terreno mq 795 = fr. 318.-- + edificio accessorio mq 47 = fr. 5'000.--; cfr. doc. 57). In virtù del principio di sussidiarietà (cfr. consid. 2.7.) la sostanza immobiliare deve essere conteggiata al fine di determinare l’eventuale diritto a una prestazione assistenziale. Per questo motivo la giurisprudenza e le direttive della COSAS prevedono che di regola non esiste il diritto di conservare una sostanza immobiliare (cfr. STCA 42.2012.14 del 20 febbraio 2013 consid. 2.10.; consid. 2.8.). Ciò vale a maggiore ragione per un immobile che non costituisce l'abitazione primaria del richiedente di prestazioni assistenziali, come quello in questione, indipendentemente dal fatto che l’insorgente abbia fatto valere che si tratti di un terreno non edificabile (cfr. doc. I; doc. 58). 2.12.   Nel caso di specie i redditi computabili di RI 1 sono costituiti dal reddito da lavoro di fr. 5’000.-- annui (cfr. doc. 53) e dal reddito da titoli e capitali di fr. 82.-- all’anno, pari a complessivi fr. 5’082.-- all’anno (cfr. doc. A13), peraltro non contestati dal medesimo. La sua sostanza computabile, non considerando - come visto sopra - la vettura usata per la professione e l’attivo mobiliare aziendale (cfr. consid. 2.11.), ammonta a fr. 31'837.-- [proprietà fondiaria di __________ di fr. 5'318.-- (cfr. consid. 2.11.) + titoli e altri collocamenti di capitali di fr. 16'519.-- (cfr. doc. A13) + automobile usata per scopi privati di fr. 20'000.-- (cfr. consid. 2.10.) – quota esente giusta l’art. 22 lett. a cfr. 2 Las di fr. 10'000.-- (cfr. consid. 2.5.)]. Le spese computabili sono composte dalla spesa per l’alloggio di fr. 12'960.-- annui (cfr. doc. 77) e dal premio dell’assicurazione malattia di fr. 4’699.-- all’anno (corrispondente al premio medio ordinario PMR per il 2013 relativo alla cassa malati CPT - cfr. doc. 40; www.priminfo.ch – che va considerato in casu, in quanto inferiore al premio medio di riferimento per il 2013 di fr. 4'908 - cfr. art. 8 cpv. 1 lett. g Laps; consid. 2.5.; Decreto esecutivo concernente le basi di calcolo per l’applicazione delle riduzioni LAMal per l’anno 2013 del 3 ottobre 2012; STCA 42.2012.14 del 20 febbraio 2013 consid. 2.14. e 2.15.). Esse, globalmente, corrispondono a fr. 17’659.-- annui (cfr. doc. A13). Di conseguenza il reddito disponibile residuale (cfr. art. 18, 22 Las) del ricorrente ammonta a fr. 19’260.-- (redditi computabili di fr. 5’082.-- + sostanza computabile di fr. 31'837.-- - spese computabili di fr. 17’659.--), pari a fr. 1’605.-- al mese. La soglia di intervento per il 2013 dell’insorgente corrisponde a fr. 1'077.-- al mese (cfr. consid. 2.4.; doc. A12). Come indicato sopra (cfr. art. 18 Las; consid. 2.4.), hanno diritto alla prestazione assistenziale ordinaria coloro il cui reddito disponibile residuale, sommato alle prestazioni sociali di complemento effettivamente percepite sulla base della Laps, non raggiunge la soglia di intervento. In concreto il ricorrente non presenta alcuna lacuna di reddito Las mensile, siccome il reddito disponibile residuale, sommato ai sussidi di cassa malati di fr. 300.-- mensili (cfr. doc. A12), risulta più elevato della soglia di intervento di fr. 828.-- al mese (fr. 1’605.-- + fr. 300.-- - fr. 1’077.--). In simili condizioni, è a ragione che l’USSI ha negato all’insorgente il diritto a una prestazione assistenziale. 2.13.   Alla luce di tutto quanto esposto, questa Corte non può che confermare la decisione su reclamo del 26 novembre 2013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