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42.2013.13 vom 5. November 2012</w:t>
      </w:r>
    </w:p>
    <w:p>
      <w:r>
        <w:t>TI Tribunale d'appello, 2012-11-05, IT</w:t>
      </w:r>
    </w:p>
    <w:p>
      <w:r>
        <w:rPr>
          <w:b/>
        </w:rPr>
        <w:t xml:space="preserve">Quelle: </w:t>
      </w:r>
      <w:r>
        <w:t>https://mcp.opencaselaw.ch/entscheid/ti_gerichte_42.2013.13_d20121105</w:t>
      </w:r>
    </w:p>
    <w:p>
      <w:r>
        <w:t>FR: TI_GERICHTE 42.2013.13 du 5 novembre 2012</w:t>
      </w:r>
    </w:p>
    <w:p>
      <w:r>
        <w:t>IT: TI_GERICHTE 42.2013.13 del 5 novembre 2012</w:t>
      </w:r>
    </w:p>
    <w:p>
      <w:pPr>
        <w:pStyle w:val="Heading2"/>
      </w:pPr>
      <w:r>
        <w:t>Regeste</w:t>
      </w:r>
    </w:p>
    <w:p>
      <w:r>
        <w:t>Rest.AS 2009-10 poiché scoperto utile conseguito con att.lucr.online.Non perenz.relat.di 1 anno (scoperta17/10/2011,OR 5/11/12,-di 1 mese x acquisire fondam.conosc.).rettam.non tenuto conto spese figlio maggior.sostenute da madre.Costi dentistici x figlio minor.non computati nel calcolo AS ordinaria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la questione di sapere se la ricorrente deve o meno restituire l’ammontare di fr. 18'159.-- corrispondenti a prestazioni assistenziali percepite negli anni 2009 e 2010.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5 gennaio 2007, sentito il parere dell’USSI e della Divisione dell’azione sociale e delle famiglie, ha deciso, considerato, da un lato, che la COSAS ha adottato il 3 dicembre 2004 una nuova versione delle «direttive per il calcolo del sostegno sociale» (al riguardo, cfr. "Inciter et intégrer: le système des nouvelles normes de la CSIAS" in Repère social n° 72 dicembre 2005 - gennaio 2006 pag. 2 seg.) che la Conferenza dei direttori cantonali delle opere sociali invita ad applicare, dall’altro, che "il coordinamento con le altre prestazioni sociali, l’organizzazione del sostegno sociale in Ticino, come pure ragioni attinenti alla politica di bilancio del Cantone rendono problematico un adeguamento integrale alle nuove direttive della COSAS - peraltro non richiesto dall’art. 19 della Las" -, che a far tempo dal 1° gennaio 2008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960.-- 100.-- 1060.-- 2 persone 1469.-- 100.-- 1569.-- 3 persone 1786.-- 100.-- 1886.-- 4 persone 2054.-- 100.-- 2154.-- 5 persone 2323.-- 100.-- 2423.-- 6 persone 2592.-- 100.-- 2692.-- 7 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2008 in BU 3/2008 del 25 gennaio 2008 pag. 30-31) Gli importi appena menzionati sono stati mantenuti anche per l’anno 2009 e 2010 (cfr. BU 13/2010 del 26 febbraio 2010, pag. 82-83).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Giova rilevare che l’art. 6 cpv. 1 lett. f Laps è stato modificato con effetto a decorrere dal 15 febbraio 2013. Il nuovo tenore è il seguente: "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(cfr. BU 9/2013 del 15 febbraio 2013)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8 cpv. 1 lett. g Laps è stato modificato a seguito del sostanziale mutamento che ha interessato il sistema di riduzione dei premi dell’assicurazione obbligatoria delle cure medico sanitarie (RIPAM), entrato in vigore il 1° gennaio 2012 (Bollettino Ufficiale 2010, 297). Il Consiglio di Stato e il Gran Consiglio hanno voluto rendere il sistema della RIPAM affine ai criteri scelti dalla Laps e quindi distanziarsi dal reddito imponibile cantonale quale base per la determinazione del diritto al sussidio per approdare al criterio del reddito disponibile (cfr. STCA 36.2012.14 del 3 settembre 2012, destinata alla pubblicazione in RtiD I-2013). Il nuovo tenore, valido dal 1° gennaio 2012, è il seguente: " g) i premi ordinari per l’assicurazione obbligatoria contro le malattie vigenti al momento della richiesta, ma al massimo fino al raggiungimento dell’importo del premio medio di riferimento.”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2.6.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2.7.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2.8.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2.7.). 2.9.   A motivazione dell’ordine di restituzione del 5 novembre 2012 relativo agli anni 2009 e 2010 l’USSI ha posto il fatto che negli anni menzionati la ricorrente ha conseguito tramite l’attività di compravendita di gioielli (bigiotteria) svolta online dei redditi non dichiarati all’amministrazione (cfr. doc. 23; A). Dalla documentazione agli atti emerge che l’insorgente negli anni 2009 e 2010 ha effettivamente esercitato un’attività lucrativa online. In effetti la stessa, nel reclamo interposto il 28 novembre 2011 contro il provvedimento di rimborso (cfr. doc. 14), ha ammesso, da un lato, di aver in quegli anni comprato e rivenduto online tramite la piattaforma __________ della merce, e meglio bigiotteria. Dall’altro, di aver guadagnato grazie a tale attività l’importo di circa fr. 2'500.-- nel 2009 e la somma di circa fr. 15'000.-- nel 2010 (cfr. doc. 15). 2.10.   Nell’ambito dell’assistenza sociale, come esposto sopra (cfr. consid. 2.3.),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2.11.   Nella concreta evenienza sulla base del principio di sussidiarietà la ricorrente, per far fronte alle spese primarie proprie e del figlio __________ (__________1997), avrebbe dovuto utilizzare prioritariamente gli introiti connessi all’attività lucrativa svolta online, rispetto alle prestazioni assistenziali. Va, inoltre, considerato che giusta l'art. 6 cpv. 1 lett. a Laps, a cui l’art. 22 Las (cfr. consid. 2.5.) rinvia e che regolamenta il reddito computabile, quest’ultimo è costituito, segnatamente, dai redditi ai sensi degli art. 15-22 della Legge tributaria del 21 giugno 1994 (LT), ad esclusione dei redditi imposti separatamente in virtù degli art. 36 cpv. 1, 38 cpv. 1 e 57 cpv. 1 LT. L’art. 17 LT prevede che sono imponibili tutti i proventi dall’esercizio di un’impresa commerciale, industriale, artigianale, agricola o forestale, da una libera professione e da ogni altra attività lucrativa indipendente. Negli anni 2009 e 2010 la situazione finanziaria dell’insorgente, avendo la stessa beneficiato di guadagni conseguiti online ma avendo omesso di annunciare tali entrate all’USSI senza indugio, era differente rispetto a quanto a conoscenza dell’USSI al momento in cui ha allestito i conteggi relativi a tali archi di tempo in cui a titolo di reddito del lavoro - e a titolo di reddito computabile Las - non è stato computato alcunché (cfr. doc. 273 e 276 per il mese di gennaio 2009; doc. 263 e 266 per il periodo febbraio-luglio 2009; doc. 254 e 257 per i mesi di agosto e settembre 2009; doc. 245 e 248 per il periodo ottobre-dicembre 2009; doc. 238 e 241 per il lasso di tempo gennaio-aprile 2010; doc. 229 e 232 per il periodo maggio-settembre 2010, doc. 220 e 223 per il mese di ottobre 2010, doc. 210 e 213 per i mesi di novembre e dicembre 2010). Nella fattispecie sono, inoltre, adempiuti i presupposti della revisione processuale (cfr. consid. 2.8.). In effetti quando, a seguito del rapporto degli Ispettori del lavoro dell’ottobre 2011 e della documentazione raccolta dall’Ufficio per la sorveglianza del mercato del lavoro, l’USSI ha saputo dell’attività di compravendita svolta online dalla ricorrente (cfr. doc. 23) sono emersi dei fatti nuovi atti a indurre a una conclusione giuridica diversa rispetto ai calcoli iniziali delle prestazioni assistenziali. E’ quindi evidente che il calcolo delle prestazioni assistenziali andava rivisto in base alle effettive entrate dell’insorgente. Di conseguenza la ricorrente, da un profilo oggettivo, ha effettivamente percepito indebitamente parte delle prestazioni assistenziali afferenti agli anni 2009 e 2010. Al riguardo è utile ribadire (cfr. consid. 2.8.)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Le argomentazioni ricorsuali relative alle asserite mancate o tardive informazioni riguardo alla possibilità di richiedere all’USSI di assumere le spese connesse a cure dentarie per il figlio minorenne, rispettivamente la partecipazione ai costi delle cure mediche (cfr. doc. I; consid. 1.4.) sono ininfluenti e verranno se del caso esaminate nella procedura di condono (cfr. consid. 2.17 in fine). 2.12.   Giusta l’art. 26 cpv. 2 Laps, applicabile in casu in virtù del rinvio di cui all’art. 36 Las (cfr. consid. 2.7.), il diritto di esigere la restituzione è perento dopo un anno dal momento in cui l’organo amministrativo competente ha avuto conoscenza dell’indebito ma, in ogni caso, dopo cinque anni dal pagamento della prestazione. Il tenore di tale disposto corrisponde a quello dell’art. 25 cpv. 2 LPGA (applicabile alle assicurazioni sociali disciplinate dalla legislazione federale) secondo cui il diritto di esigere la restituzione si estingue dopo un anno a decorrere dal momento in cui l’istituto di assicurazione ha avuto conoscenza del fatto, a al più tardi cinque anni dopo il versamento della prestazione. Visto che il contenuto dell’art. 26 cpv. 2 Laps è essenzialmente il medesimo di quello dell’art. 25 cpv. 2 LPGA, la giurisprudenza valida per quest’ultimo – elaborata sotto l’egida del vecchio diritto (cfr. art. 95 cpv. 4 vLADI; U. Kieser, ATSG Kommentar, 2. edizione, 2009, ad art. 25, n. 38) – va applicata per analogia anche al disposto della Laps. In particolare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vLADI, contrariamente al tenore letterale della norma, costituiscono un termine di perenzione (cfr. pure DTF 122 V 270, consid. 5a, pag. 274-275; DTF 119 V 431, consid. 3a, pag. 433) che decorre dal momento in cui l'amministrazione poteva ragionevolmente avere conoscenza dei fatti giustificanti la restituzione. Si tratta, quindi, pure per quanto attiene all’art. 26 cpv. 2 Laps, di un termine di perenzione (cfr. STCA 39.2011.8 del 29 settembre 2011 consid. 2.10.; STCA 39.2008.2 del 29 maggio 2008 consid. 2.9.). I termini di perenzione non possono, poi, essere né interrotti né sospesi e devono essere applicati d’ufficio (cfr. DTF 111 V 135, consid. 3b, pag. 136; cfr. pure T. Locher, Grundriss des Sozialversicherungsrechts, Ed. Stämpfli, Berna 1997, N. 36-37, pag. 59-60 e N. 12-13, pag. 311-312). Il Tribunale federale, in una sentenza 8C_383/2007 del 15 luglio 2008, ha ribadito che la perenzione va esaminata d’ufficio . Al riguardo l’Alta Corte si è così espressa: " (…) La perenzione provoca l'estinzione del diritto (Kieser, ATSG-Kommentar, Zurigo/Basilea/Ginevra 2003, no. 9 all'art. 24; Maeschi, Kommentar zum Bundesgesetz über die Militärversicherung [MVG], Berna 2000, no. 31 all'art. 15 LAM, pag. 147), non solo la possibilità di porlo in esecuzione. Essa va quindi esaminata d'ufficio, indipendentemente da un'eventuale eccezione ( DTF 113 V 180 consid. 2 pag. 181; 112 V 6 consid. 4c pag. 8; 111 V 135 consid. 3b pag. 136).“ In una sentenza C 17/03 del 2 settembre 2003, pubblicata in SVR 2004 ALV Nr. 5, è stato, inoltre,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Riguardo alle prestazioni periodiche va osservato che la pretesa di restituzione di un'indennità periodica indebitamente versata non può perimere fintanto che la prestazione non è stata versata (cfr. STF 9C_795/2009 del 21 giugno 2010 consid. 3.2., pubblicata in SVR 2010 EL Nr. 12 pag. 35 e in RtiD I-2011 N. 47 pag. 212 segg.; DTF 122 V 270 = SVR 1997 ALV Nr. 82 pag. 247 = DLA 1996/1997, Nr. 23, pag. 130). Al riguardo cfr. pure STF 8C_918/2012 del 29 gennaio 2013 consid. 4.3.; STF 8C_383/2007 del 15 luglio 2008 consid. 6.2. e DTF 133 V 579. 2.13.   Nella presente fattispecie dalle carte processuali si evince, da un lato, che l’amministrazione è venuta a conoscenza dell’attività lucrativa esercitata dalla ricorrente online tramite un rapporto del 17 ottobre 2011 degli Ispettori del lavoro e l’esame della documentazione raccolta dall’Ufficio per la sorveglianza del mercato del lavoro. In seguito ha avuto luogo, nel giugno 2012, un colloquio presso l’USSI nel corso del quale all'insorgente è  stato richiesto di trasmettere della documentazione a comprova degli utili netti conseguiti (cfr. doc. 23). Dall’altro, che l’ordine di restituzione relativo alle prestazioni assistenziali percepite dall’insorgente negli anni 2009 e 2010 è stato emesso il 5 novembre 2012 (cfr. doc. 23; consid. 1.1.). Se si considera che l’amministrazione ha saputo dell’attività lucrativa della ricorrente al più presto nel mese di ottobre 2011, risulta che il provvedimento del 5 novembre 2012 risale a più di un anno dopo la scoperta dello svolgimento da parte dell’insorgente di un’attività lucrativa online. Al riguardo giova, tuttavia, rilevare che l’Alta Corte in una sentenza 8C_64/2011 del 7 novembre 2011 consid. 3.2. ha precisato che: " (…)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Di regola per esperire i necessari accertamenti viene considerato adeguato un termine di 4 mesi (cfr. C 24/02 dell’11 febbraio 2004 consid. 3.2 = DLA 2004 N. 31 pag. 285). Nella sentenza 9C_503/2010 del 26 agosto 2011 l’Alta Corte ha confermato il giudizio cantonale che ha ritenuto adeguato, per l’organo esecutivo responsabile della protezione civile, un termine di due mesi per determinare la somma delle indennità di perdita di guadagno (IPG). Inoltre con giudizio 38.2013.20 dell’11 settembre 2013 il TCA, alla luce della semplicità di quel caso in esame - di fatto si trattava unicamente di calcolare quanti mesi di lavoro l’assicurato aveva svolto entro il termine quadro di contribuzione -, ha ritenuto che gli accertamenti necessari alla Cassa per verificare l’esistenza di un obbligo di restituzione delle indennità di disoccupazione percepite a torto a causa del mancato compimento del periodo di contribuzione minimo avrebbe richiesto non più di 30 giorni. Con sentenza 42.2013.2 del 24 febbraio 2014, infine, questa Corte, pronunciandosi in relazione a un caso analogo alla concreta evenienza di restituzione di prestazioni assistenziali a seguito della scoperta di redditi non dichiarati provenienti da un’attività lucrativa di compravendita online, ha considerato ragionevole e adeguato un lasso di tempo di poco più di un mese e mezzo per acquisire la necessaria conoscenza dei fatti. Pertanto anche in casu, ritenuto che l’ordine di restituzione è stato emesso dall’USSI il 5 novembre 2012, ossia poco meno di tredici mesi dopo la scoperta - al più presto nell’ottobre 2011 - dell’attività lucrativa svolta dal ricorrente, occorre concludere, senza che si riveli necessario esperire ulteriori indagini, che un arco di tempo di meno di un mese (seconda metà del mese di ottobre 2011 – 6 novembre 2011) per acquisire le fondamentali conoscenze dei fatti essenziali (periodi di attività, entità delle entrate) in modo tale da potere esercitare il diritto alla restituzione risulta, in ogni caso, ragionevole e adeguato (in proposito cfr. pure STCA 42.2009.5 del 5 maggio 2010 consid. 2.6. confermata dalla STF 9C_497/2010 del 26 agosto 2011 consid. 5.5.). Il termine di perenzione di un anno ai sensi dell’art. 26 cpv. 2 Laps nella fattispecie è così iniziato a decorrere, al più presto il 6 novembre 2011. In simili condizioni, allorché l’USSI ha emesso la decisione del 5 novembre 2012 il diritto alla restituzione delle prestazioni che la ricorrente ha indebitamente percepito negli anni 2009 e 2010 non era, dunque, ancora perento. 2.14.   Occorre ora stabilire se l’importo chiesto in restituzione di fr. 18'159.-- sia corretto. L’amministrazione ha determinato tale ammontare fondandosi sugli introiti percepiti dall’insorgente nel 2009, pari a fr. 2'582.--, e nel 2010, corrispondenti a fr. 15'577.-- (cfr. doc. 23; A), conteggiati sulla base della documentazione raccolta dagli Ispettori del lavoro, dall’Ufficio per la sorveglianza della mercato del lavoro, come pure inviata dalla ricorrente stessa (cfr. doc. 23). Come visto sopra (cfr. consid. 2.9.), l’insorgente non ha contestato l’entità in quanto tale delle entrate connesse all’attività svolta online. Al contrario la medesima ha riconosciuto di aver guadagnato circa fr. 2'500.-- nel 2009 e circa fr. 15'000.-- nel 2010 (cfr. doc. 15). Di conseguenza il TCA non ha motivo di dubitare della correttezza degli importi di fr. 2’582.-- per l’anno 2009 e di fr. 15'577.-- per l’anno 2010 considerati dall’USSI (cfr. doc. A). 2.15.   La ricorrente ha, però, chiesto di tenere conto che con gli introiti derivanti dalla sua attività lucrativa ha aiutato suo figlio maggiorenne, __________, che abita presso la nonna per fr. 8'000.-- e ha pure pagato un apparecchio dentale al figlio minorenne, __________, che vive con lei (cfr. doc. I; V). A ragione l’USSI nel calcolo dell’importo da restituire non ha considerato le spese del figlio maggiorenne a cui ha provveduto la madre. L’art. 4 Laps, concernente l’unità di riferimento, prevede che: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 Las deroga al regime introdotto dalla Laps in relazione alla determinazione dell’unità di riferimento unicamente con l’art. 21, il cui tenore è il seguente: " 1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2 In caso di rigore, l’autorità competente può pure escludere dall’unità di riferimento altri membri che non ottemperano ai loro obblighi di mantenimento o di assistenza nei confronti del titolare del diritto, ai sensi degli art. 159, 163, 276, 328 e 329 CCS.”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Relativamente al concetto di figli maggiorenni non economicamente indipendenti, di cui all’art. 4 cpv. 1 lett. e Laps, l’art. 2 Reg.Laps enuncia: " 1 Una persona maggiorenne non è economicamente indipendente se, cumulativamente: a) ha meno di 30 anni; b) non è sposata, legalmente divorziata, separata o vedova, non è o non è stata vincolata da un’unione domestica registrata; c) non ha figli; d) è in prima formazione. 2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3 …” (La sottolineatura è del redattore) In proposito è utile segnalare che con STCA 39.2011.6 del 21 maggio 2012, pubblicata in RtiD I-2013 N.9 pag. 25 segg., questa Corte ha stabilito che per valutare se un figlio maggiorenne con meno di 30 anni non sposato, legalmente divorziato, sperato o vedovo, non vincolato da un’unione domestica registrata, senza figli e in prima formazione (art. 2 cpv. 1 lett. a, b, c, d Reg.Laps) vada o meno considerato nell’unità di riferimento dei genitori non si può prescindere dall’esame della sua situazione economica. Se il figlio ossequia i quattro presupposti di cui all’art. 2 cpv. 1 lett. a, b, c, d Reg.Laps e non risulta in grado di provvedere al proprio sostentamento, egli rientrerà nell’unità di riferimento dei genitori. Se, invece, il figlio adempie le quattro condizioni di cui all’art. 2 cpv. 1 lett. a, b, c, d Reg.Laps ma, grazie alle proprie risorse può mantenersi completamente, egli non sarà compreso nell’unità di riferimento dei genitori, a meno che lo stesso viva in condizioni agiate ai sensi dell’art. 328 CC e sia, quindi, tenuto all’assistenza tra parenti in linea ascendente. In concreto il figlio maggiorenne non abita con l’insorgente, bensì con la nonna (cfr. doc. I). Pertanto, già per questo fatto, è comunque escluso che costituisse un’unità di riferimento con la madre e quindi i suoi costi, così come pure gli eventuali suoi redditi non vanno computati nel calcolo dell’assistenza sociale dell’insorgente da rimborsare. Inoltre l ’art. 277 CC, relativo alla durata dell’obbligo di mantenimento dei genitori nei confronti dei figli, enuncia che: " 1 L’obbligo di mantenimento dura fino alla maggiore età del figlio. 2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Relativamente ai figli maggiorenni, l’art. 277 cpv. 2 CC contempla, quindi, da parte dei genitori un obbligo di mantenimento ragionevole nella misura in cui il figlio stia ancora seguendo una formazione adeguata. Il concetto “per quanto si possa ragionevolmente pretendere” dai genitori richiede di mettere a confronto la situazione economica di questi ultimi con la capacità lavorativa del figlio maggiorenne (cfr. STF 8C_882/2009 del 19 febbraio 2010, pubblicata in DLA 2011 N. 2 pag. 61 ). Nella sentenza 8C_882/2009 del 19 febbraio 2010, pubblicata in DLA 2011 N. 2 pag. 61, appena citata il TF ha sottolineato che la responsabilità individuale del figlio maggiorenne è, in ogni caso, prioritaria rispetto all’obbligo di mantenimento da parte dei genitori (cfr. art. 276 cpv. 3 CC), per cui il figlio durante la formazione è tenuto a sfruttare, per quanto compatibile con quest’ultima, tutte le possibilità per provvedere al proprio sostentamento, in particolare deve dedicarsi a un’attività lavorativa, in relazione alla quale va semmai computato un reddito ipotetico. Secondo l’art. 328 CC, concernente l’assistenza tra parenti: " 1 Chi vive in condizioni agiate è tenuto a soccorrere i parenti in linea ascendente e discendente quando senza di ciò essi cadessero nel bisogno. 2 È fatto salvo l’obbligo di mantenimento dei genitori e del coniuge o del partner registrato.” Al riguardo giova evidenziare che l'art. 328 CC prevede l'assistenza tra parenti in linea ascendente e discendente soltanto per chi vive in condizioni agiate (cfr. Basler Kommentar, 2002, ad art. 328 ZGB n. 15). Siccome il concetto del dovere di assistenza tra parenti è in sé problematico e non si adatta più ai tempi attuali, la nozione di "condizioni agiate" deve essere interpretata in senso stretto. La Conferenza svizzera per l'aiuto sociale 2000, nelle sue direttive in vigore dal 1° gennaio 2001, ha proposto agli organi dell'aiuto sociale di considerare che le persone sono in grado di contribuire al mantenimento dei loro parenti a partire da un reddito imponibile di fr. 120'000.-- per le persone sole e di fr. 180'000.-- per le coppie, a cui aggiungere l'ammontare di fr. 20'000.-- per ogni figlio minorenne o in formazione (cfr. Direttive COSAS 2005, modificate nel dicembre 2008, p.to F4; Basler Kommentar, 2002, ad art. 328 ZGB n. 15b e 17). Nel caso di specie la ricorrente, che negli anni 2009 e 2010 era al beneficio dell’assistenza sociale, non viveva evidentemente in condizioni agiate giusta l’art. 328 CC, né da lei poteva essere ragionevolmente preteso un contributo al mantenimento del figlio anche nel caso in cui fosse stato ancora in formazione ai sensi dell’art. 277 CC. Ne discende che la medesima non era tenuta a provvedere al mantenimento del figlio maggiorenne __________. 2.16.   Relativamente al costo dell’apparecchio dentale a cui la ricorrente sostiene di aver fatto fronte, va osservato che, indipendentemente dalla circostanza che agli atti non risulti alcuna fattura e/o ricevuta di pagamento in merito, le spese dentali non rientrano nei costi computabili nel calcolo volto alla determinazione della prestazione assistenziale ordinaria. A tale proposito giova rilevare che i redditi computabili e le spese computabili - queste ultime costituite dalla spesa vincolata e dalla spesa per l’alloggio - agli art. 22 Las e 6, 8 e 9 Laps (cfr. consid. 2.5.) sono elencati in modo esaustivo. Di conseguenza, una volta conteggiate tali voci nel calcolo della prestazione assistenziale, non è possibile computarne altre non previste dalla Las e dalla Laps. A eventuali ulteriori costi che esulano sia dalla spesa per l’alloggio, che dalla lista esaustiva delle spese vincolate si deve, perciò, sopperire tramite l’importo della soglia di intervento, analogamente a quanto avviene per le PC, con l’ammontare destinato a coprire il fabbisogno minimo (in particolare: vestiti, vitto, mobilio, telefono e tasse telefoniche, acqua, luce, ecc.; cfr. STCA 42.2008.2 del 19 maggio 2008 consid. 2.17.; E. Carigiet, Ergänzungsleistungen zur AHV/IV, p. 23 N 74, in Schweizerisches Bundesverwaltungsrecht (SBVR), Basilea 1998). In simili condizioni, nel rispetto del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STFA del 20 agosto 2003 nella causa X., H 231/02, consid. 5), l’USSI, visto che le spese dentali non rientrano nella lista esaustiva delle spese vincolate, rettamente non ne ha tenuto conto nel calcolo delle prestazioni assistenziali ordinarie per gli anni 2009 e 2010 da restituire. Giova, in ogni caso, rilevare che l’art. 20 Las contempla la possibilità di beneficiare di prestazioni assistenziali speciali. Tale disposto legale al cpv. 1 prevede un elenco di prestazioni che non risulta, tuttavia, essere esaustivo. In effetti la lista di prestazioni menzionata è preceduta da “ad esempio”, il che significa che la stessa non è completa, bensì soltanto esemplificativa. Le spese dentarie, franchigie e partecipazioni ai costi di cure mediche, nonché spese straordinarie dovute a malattia o handicap sono elencate al cpv. 1 lett. b dell’art. 20 Las. Esse, pertanto, di principio possono essere assunte dall’USSI tramite l’erogazione - ai beneficiari di prestazioni assistenziali ordinarie o a coloro il cui reddito disponibile supera di poco la soglia d’intervento (cfr. art. 20 cpv. 3 Las) - di una prestazione assistenziale speciale. Per quanto attiene alle spese relative a cure dentarie con sentenza 42.2007.9 del 14 febbraio 2008, massimata in RtiD II-2008 N. 14 pag. 51-52, questa Corte ha stabilito che a ragione l’USSI aveva negato una prestazione assistenziale speciale per la copertura integrale delle cure dentistiche a favore della figlia di una beneficiaria di prestazioni assistenziali ordinarie. In effetti dall’accertamento esperito dal TCA presso la Commissione dei periti dentisti è emerso che l’anomalia di cui era portatrice la giovane non era tale da impedirle una masticazione corretta e ai fini del trattamento era preponderante l’indicazione estetica rispetto a quella funzionale. La malformazione di cui era affetta la ragazza non rivestiva, del resto, una gravità di poco inferiore a quella delle affezioni dentarie riconosciute dall’AI quali infermità congenite, le quali vengono assunte dall’AI per assicurati fino al compimento dei 20 anni. Visto che il trattamento dentario si imponeva più per motivi estetici che funzionali, nemmeno un rimborso parziale poteva trovare giustificazione. Anche nel caso in cui una cura si fosse rivelata necessaria per motivi di salute dentaria, una copertura parziale avrebbe comunque dovuto essere esclusa, se il trattamento non era semplice e adeguato, ma esisteva un’altra cura di costo inferiore permettente di raggiungere lo scopo cercato. In tal caso sarebbe stata finanziata questa ulteriore cura, purché l’interessato avesse accettato di sottoporvisi. Gli assistiti, in effetti, non vanno posti – pagando solo una parte di un determinato trattamento – nella condizione di non poter far fronte al restante importo. Al riguardo cfr. pure TCA 42.2013.21 del 9 aprile 2014. 2.17.   Alla luce di tutto quanto esposto e ritenuto, da un lato, che le prestazioni assistenziali per il 2009 di complessivi fr. 25'812.-- e per il 2010 di complessivi fr. 25'193.20 sono state attribuite alla ricorrente non computando nei relativi conteggi alcunché a titolo di reddito da lavoro, né quale reddito disponibile Las (cfr. consid. 2.11.; doc. 23; 273; 263; 254; 245; 238; 229; 220; 210), dall’altro, che l’insorgente non ha contestato l’entità delle entrate connesse all’attività lucrativa svolta online di fr. 2'582.-- per il 2009 e di fr. 15'577.-- per il 2010 (cfr. consid. 2.9.; 2.14.), la richiesta di rimborsare l’ammontare di fr. 18'159.-- (fr. 2'582.-- reddito netto per il 2009 + fr. 15'577.-- reddito netto per il 2010) si rivela corretta. La decisione su reclamo del 24 giugno 2013, nella misura in cui ha confermato l’ordine di restituzione del 5 novembre 2012, deve, conseguentemente, essere confermata. L’amministrazione si pronuncerà nuovamente sulla domanda di condono dopo che sarà cresciuta in giudicato la decisione con la quale è stata chiesta la restituzione di fr. 18'159.--. Per costante giurisprudenza federale, infatti,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