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 vom 24. Oktober 2013</w:t>
      </w:r>
    </w:p>
    <w:p>
      <w:r>
        <w:t>TI Tribunale d'appello, 2013-10-24, IT</w:t>
      </w:r>
    </w:p>
    <w:p>
      <w:r>
        <w:rPr>
          <w:b/>
        </w:rPr>
        <w:t xml:space="preserve">Quelle: </w:t>
      </w:r>
      <w:r>
        <w:t>https://mcp.opencaselaw.ch/entscheid/ti_gerichte_42.2013.1</w:t>
      </w:r>
    </w:p>
    <w:p>
      <w:r>
        <w:t>FR: TI_GERICHTE 42.2013.1 du 24 octobre 2013</w:t>
      </w:r>
    </w:p>
    <w:p>
      <w:r>
        <w:t>IT: TI_GERICHTE 42.2013.1 del 24 ottobre 2013</w:t>
      </w:r>
    </w:p>
    <w:p>
      <w:pPr>
        <w:pStyle w:val="Heading2"/>
      </w:pPr>
      <w:r>
        <w:t>Regeste</w:t>
      </w:r>
    </w:p>
    <w:p>
      <w:r>
        <w:t>Rest.AS 11/11-2/12.Figlio maggior.non nell'UR della madre.In quei mesi serv.militare.Quindi poteva mantenersi(IPG+vitto+alloggio+premi LAMal),ma non tenuto ad aiutare madre(non cond.agiate ex 328 CC).Rinvio atti x nuovo calcolo.Dedurre costi ma pure redditi. Se imp.a favore ric.non pagam.retroattivi</w:t>
      </w:r>
    </w:p>
    <w:p>
      <w:pPr>
        <w:pStyle w:val="Heading2"/>
      </w:pPr>
      <w:r>
        <w:t>Erwägungen</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8 cpv. 1 lett. g Laps è stato modificato a seguito del sostanziale mutamento che ha interessato il sistema di riduzione dei premi dell’assicurazione obbligatoria delle cure medico sanitarie (RIPAM), entrato in vigore il 1° gennaio 2012 (Bollettino Ufficiale 2010, 297). Il Consiglio di Stato e il Gran Consiglio hanno voluto rendere il sistema della RIPAM affine ai criteri scelti dalla Laps e quindi distanziarsi dal reddito imponibile cantonale quale base per la determinazione del diritto al sussidio per approdare al criterio del reddito disponibile (cfr. STCA 36.2012.14 del 3 settembre 2012, destinata alla pubblicazione in RtiD I-2013). Il nuovo tenore, valido dal 1° gennaio 2012, è il seguente: " g) i premi ordinari per l’assicurazione obbligatoria contro le malattie vigenti al momento della richiesta, ma al massimo fino al raggiungimento dell’importo del premio medio di riferimento.”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dal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2.7.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2.8.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2.7.). 2.9.   A motivazione dell’ordine di restituzione relativo al periodo novembre 2011 – febbraio 2012 l’USSI ha posto il fatto che nell’arco di tempo menzionato il figlio maggiorenne della ricorrente, beneficiando di indennità per perdita di guadagno a seguito dello svolgimento del servizio militare, non doveva essere compreso nell’unità di riferimento della madre. Avantutto questa Corte ritiene utile rilevare che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Relativamente al concetto di figli maggiorenni non economicamente indipendenti, di cui all’art. 4 cpv. 1 lett. e Laps, l’art. 2 Reg.Laps enuncia: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2.10.   Con sentenza 39.2011.6 del 21 maggio 2012, destinata alla pubblicazione in RtiD I-2013, questa Corte ha stabilito che per valutare se un figlio maggiorenne con meno di 30 anni non sposato, legalmente divorziato, separato o vedovo, non vincolato da un’unione domestica registrata, senza figli e in prima formazione (art. 2 cpv. 1 lett. a, b, c, d Reg.Laps) vada considerato nell’unità di riferimento dei genitori ai sensi dell’art. 4 cpv. 1 lett. e Laps o meno non si può prescindere dall’esame della sua situazione economica. In effetti, dai lavori preparatori esaminati procedendo all’interpretazione degli art. 4 cpv. 1 lett. e Laps e 2 Reg.Laps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 (cfr. Messaggio del 13 marzo 2002 relativo alla modifica della legge sull’armonizzazione e il coordinamento delle prestazioni sociali). Non verificando 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 (cfr. DTF 132 III 97). L’art. 2 cpv. 1 Reg.Laps deve, pertanto, essere interpretato conformemente agli art. 277 cpv. 2, 276 cpv. 3 e 328 CC, al fine di non violare il principio della forza derogatoria del diritto federale codificato all’art. 49 cpv. 1 Cost. (cfr. STF 8C_931/2009 del 7 maggio 2010 consid. 6.1.). Questa soluzione si giustifica tanto più se si considera, da un lato, che agli art. 4 lett. e Laps e 2 cpv. 1 Reg.Laps per definire la dipendenza dei figli maggiorenni rientranti nell’unità di riferimento dei genitori è stato comunque utilizzato l’avverbio economicamente . Dall’altro, che dai lavori preparatori emerge a più riprese il riferimento all’aspetto economico. Se il figlio ossequia i quattro presupposti di cui all’art. 2 cpv. 1 lett. a, b, c, d Reg.Laps e non risulta in grado di provvedere al proprio sostentamento, egli rientrerà nell’unità di riferimento dei genitori. Se, invece,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 In quel caso di specie il figlio - nato il 14 luglio 1992 e che viveva nella medesima abitazione dei genitori e della sorella - aveva meno di 30 anni, non era coniugato, né divorziato, separato o vedovo e non era e non era stato vincolato da un’unione registrata ed era in prima formazione. Egli, percependo delle indennità giornaliere pari a fr. 103.-, ossia circa fr. 3'000.- al mese, dall’assicurazione invalidità durante il periodo della prima formazione professionale, risultava in grado di provvedere con i soli propri mezzi finanziari al proprio sostentamento. In quel caso, dunque, poteva restare aperta la questione di sapere in generale quali parametri applicare per determinare il fabbisogno del figlio maggiorenne con reddito o sostanza al fine di appurare nel regime Laps se questi vada o meno considerato nell’unità di riferimento dei genitori. Il figlio, che non andava in ogni caso considerato in condizioni finanziarie agiate ai sensi dell’art. 328 CC, non doveva così rientrare nell’unità di riferimento composta dei genitori e della sorella dodicenne ai fini del calcolo volto a determinare l’eventuale diritto a un assegno integrativo a favore di quest’ultima. 2.11.   Nella presente evenienza il figlio della ricorrente, __________, nato l’8 luglio 1992 e quindi di meno di 30 anni, non è coniugato, né divorziato, separato o vedovo e non è e non è stato vincolato da un’unione registrata (cfr. sistema informatico relativo alla banca dati MOVPOP che gestisce l’anagrafe della popolazione del Cantone Ticino). Egli, nell’anno scolastico 2010/2011, era iscritto al secondo anno del corso di commercio e lingue presso la Scuola __________ (cfr. doc. 363; 359). Dal 31 ottobre 2011 __________ ha svolto la scuola reclute a __________, come da ordine di marcia intimatogli che prevedeva quale data di fine servizio il 6 aprile 2012 (cfr. doc. 357). Dalle carte processuali si evince che nel periodo 31 ottobre 2011 – 10 febbraio 2012 egli ha percepito delle indennità per perdita di guadagno pari a fr. 62.-- al giorno (cfr. doc. 188-194; art. 9 cpv. 1 e 16a cpv. 1 LIPG). Ai sensi dell’art. 1a cpv. 1 della Legge federale sulle indennità di perdita di guadagno (LIPG) le persone che prestano servizio nell'esercito svizzero e nel servizio della Croce Rossa hanno diritto a un'indennità per ogni giorno di soldo. L’art. 9 cpv. 1 LIPG prevede che durante il reclutamento, durante la scuola reclute e durante l'istruzione di base l'indennità giornaliera di base per le persone che adempiono senza interruzione al loro obbligo di servire (persone in lungo servizio) ammonta al 25 per cento dell'indennità totale massima. Giusta l’art. 16a cpv. 1 LIPG l'indennità totale massima ammonta, dal 1° gennaio 2011, a 245 franchi al giorno. Il 25% della somma di fr. 245.-- è pari a circa fr. 62.--, importo corrispondente a quello erogato a __________. L’art. 29 cpv. 1 della Legge federale sull'esercito e sull'amministrazione militare (Legge militare, LM) enuncia, poi, che i militari in servizio ricevono dallo Stato il soldo e la sussistenza. Lo Stato provvede al loro alloggio e assume le spese per i viaggi di servizio (cpv. 1). Gli art. 29 cpv. 2 e 149 LM prevedono che l’Assemblea federale emana le disposizioni concernenti il soldo, la sussistenza, l'alloggio e i viaggi di servizio in forma di ordinanza. Giusta l’art. 35 dell’Ordinanza del 29 novembre 1995 concernente l’amministrazione dell’esercito (OAE) il diritto al soldo sorge il giorno dell'entrata in servizio e cessa il giorno del licenziamento. Pertanto, tenendo anche conto del fatto che il diritto di __________ alle indennità per perdita di guadagno ha iniziato a decorrere il 31 ottobre 2011 (cfr. doc. 188), nei mesi di novembre 2011 (nel quale è conteggiata pure l’indennità del 31 ottobre 2011), dicembre 2011 e gennaio 2012 egli ha ricevuto la somma mensile di fr. 1'922.-- lordi (fr. 62.-- x 31 giorni; cfr. doc. 188-194), pari a fr. 1'823.-- netti (da fr. 1'922.-- sono stati dedotti i contributi sociali 5.15%; cfr. doc. 188-194), mentre nel mese di febbraio 2012 l’importo di fr. 620.-- (fr. 62 x 10 giorni; cfr. doc. 194), ossia fr. 588.-- netti (cfr. doc. 194). A tali somme mensili delle indennità per perdita di guadagno va aggiunta la pensione alimentare che il padre corrispondeva a __________ di fr. 850.-- al mese - come pure alla figlia __________ del medesimo ammontare (cfr. doc. 210; 279; 261; 233; 234; 235) -, conformemente a quanto stabilito nella convenzione del 10 maggio 1999 sulle conseguenze accessorie al divorzio omologata dal Pretore della Giurisdizione di __________ il 15 giugno 1999 (cfr. doc. 82-85). Complessivamente, dunque, il figlio dell’insorgente, nel periodo da novembre 2011 a febbraio 2012, poteva disporre di entrate corrispondenti a circa fr. 2'673.-- (fr. 1'823.-- + fr. 850.--) per i mesi da novembre 2011 a gennaio 2012 e di fr. 1'438.-- (fr. 588.-- + fr. 850.--) per il mese di febbraio 2012. Con questi importi mensili, considerato, inoltre, che da novembre 2011 a febbraio 2012, in quanto recluta, riceveva dallo Stato vitto, alloggio e un soldo di fr. 4 al giorno (cfr. art. 29 LM; 38 OAE), nonché era esentato dal pagamento dei premi dell’assicurazione obbligatoria contro le malattie poiché tale rischio era coperto dall’assicurazione militare (cfr. art. 3 cpv. 4 Legge federale sull’assicurazione malattie - LAMal; art 1a, 3 e 4 Legge federale sull’assicurazione militare - LAM), __________ risultava certamente in grado di provvedere con i soli propri mezzi finanziari al proprio sostentamento (cfr. consid. 2.10.). RI 3Il figlio della ricorrente non poteva, tuttavia, essere considerato in condizioni finanziarie agiate ai sensi dell’art. 328 CC, per cui non era tenuto a soccorrere economicamente sua madre (cfr. consid. 2.10.). Ne discende che __________, indipendentemente dalla questione di sapere se in concreto lo stesso fosse ancora o meno in prima formazione (al riguardo va osservato che per ammettere la prima formazione un’eventuale interruzione del percorso formativo non deve essere superiore a 24 mesi; cfr. art. 2 cpv. 2 Reg.Laps; consid. 2.9.), come stabilito dalla Cassa (cfr. doc. 11; A1; III), nel lasso di tempo da novembre 2011 a febbraio 2012, non doveva rientrare nell’unità di riferimento della madre RI 1. In simili condizioni, essendosi realizzato un cambiamento importante nella situazione personale e finanziaria della ricorrente, è quindi evidente che il calcolo della prestazione assistenziale andava rivisto, rispetto ai conteggi iniziali del 12 settembre 2011 (con validità da settembre a novembre 2011; cfr. doc. 255), del 21 novembre 2011 (con validità per il mese di dicembre 2011, cfr. doc. 225) e del 19 dicembre 2011 (con validità per i mesi di gennaio e febbraio 2012; cfr. doc. 218) in cui nell’unità di riferimento dell’insorgente erano stati inseriti, oltre alla stessa, la figlia __________ - nata il 3 gennaio 1991 e in prima formazione fino a giugno 2012 (cfr. doc. 43; 349) - e il figlio __________, non tenendo conto di quest’ultimo. 2.12.   Occorre ora stabilire se la somma chiesta in restituzione sia corretta oppure no. L’USSI ha determinato l’ammontare di fr. 2'378.80, oggetto della domanda di rimborso, sommando gli importi delle spese mensili da novembre 2011 a febbraio 2012 relative al figlio della ricorrente. Quali costi mensili concernenti __________ sono stati considerati il sostentamento (fr. 323.--), la pigione (fr. 200.--) e il premio della cassa malati (fr. 71.70) per complessivi fr. 594.70. La somma di fr. 594.70 è poi stata moltiplicata per quattro mesi (da novembre 2011 a febbraio 2012), ottenendo l’importo totale di fr. 2'378.80 (cfr. doc. 11). Tale modo di procedere si rivela, tuttavia, errato. Infatti l’amministrazione ha tenuto conto, a torto, unicamente delle spese di __________, omettendo di dedurre dai calcoli relativi alla ricorrente anche i redditi del figlio (pensione alimentare versatagli dal padre di fr. 850.-- al mese; cfr. doc. 82; 235; 233) e altre prestazioni erogate a suo favore (sussidio per il pagamento del premio dell’assicurazione obbligatoria contro le malattie di fr. 266.-- al mese; cfr. doc. 265), che erano invece stati conteggiati nei calcoli iniziali del 12 settembre, 21 novembre e 19 dicembre 2011 in cui __________ era stato compreso nell’unità di riferimento della madre (cfr. doc. 257; 258; 227, 228; 220, 221). Al riguardo il TCA evidenzia, che, applicando a contrario l’art. 5 Laps, a cui rinvia l’art. 22 Las (cfr. consid. 2.5.), secondo il quale il reddito disponibile residuale è pari alla differenza tra la somma dei redditi computabili e la somma delle spese computabili delle persone componenti l’unità di riferimento, risulta che nel calcolo delle prestazioni assistenziali di un richiedente non vanno computati i costi e le entrate della persona che non rientra nella sua unità di riferimento. Gli atti vanno, pertanto rinviati all’USSI affinché calcoli nuovamente le prestazioni assistenziali a cui ha diritto a RI 1 dal novembre 2011 al febbraio 2012 senza considerare il figlio __________ per quanto riguarda sia le spese computabili che i redditi computabili. Più precisamente, in concreto, i conteggi specifici dell’assistenza sociale spettante alla ricorrente dovranno essere effettuati, tenendo conto solo della stessa e della figlia __________, ovvero non computando tutte le voci – spese (soglia di intervento, pigione, cassa malati), redditi (pensione alimentare ricevuta dal padre) e la riduzione del premio dell’assicurazione obbligatoria delle cure medico-sanitarie – che riguardano __________. In particolare non andrà considerata la parte della soglia Las (art. 19 Las) afferente al figlio della ricorrente, e meglio andrà conteggiata soltanto la soglia di intervento relativa a due persone pari a fr. 1'595.--, invece della somma di fr. 2'128.-- (soglia di intervento per tre persone di fr. 1'918.-- + supplemento di fr. 210.-- per la terza persona di più di sedici anni; cfr. consid. 2.4.; doc. 220; 227, 257). Per quanto attiene alla pigione ( cfr. art. 22 lett. c Las e</w:t>
      </w:r>
    </w:p>
    <w:p>
      <w:r>
        <w:rPr>
          <w:b/>
        </w:rPr>
        <w:t>E. 9</w:t>
      </w:r>
    </w:p>
    <w:p>
      <w:r>
        <w:t>cpv. 1 Laps) dell’appartamento di Via __________ di complessivi fr. 600.-- (cfr. doc. 294; 302; 16), è utile ribadire che secondo l’art. 9 cpv. 2 Laps se una persona che non fa parte dell’unità di riferimento convive con uno dei suoi membri, dalla spesa per l’alloggio viene dedotta la quota-parte imputabile al convivente. Le disposizioni COSAS del 2005, aggiornate nel dicembre 2007, al punto B.3 enunciano che: " Nel caso di persone conviventi non tutte beneficiarie del sostegno sociale (v. capitolo F.5.1), si divide la quota mensile della pigione per il numero di persone che compongono l’economia domestica, conformemente al capitolo F.5.1. Si aggiunge poi l’importo ottenuto al budget.” Al riguardo cfr. STCA 42 2012.14 del 20 febbraio 2013 consid. 2.12. e 2.13. Inoltre l ’amministrazione terrà in considerazione che il premio dell’assicurazione obbligatoria contro le malattie non corrisponde al premio effettivo a carico di un assicurato, contrariamente a quanto sembra aver considerato la stessa nella decisione di restituzione (cfr. doc. 11; 12), bensì a quanto previsto dagli art. 8 cpv. 1 lett. g Laps e 4 Reg.Laps a cui l’art. 22 Las rinvia (cfr. consid. 2.5.). L’art. 8 cpv. 1 lett. g Laps, nel suo tenore valido fino al 31 dicembre 2011, enuncia che quale premio dell’assicurazione malattia deve intendersi il premio ordinario, ma al massimo fino al raggiungimento dell’importo della quota cantonale media ponderata. Secondo, poi, l’art. 4 Reg.Laps, valido fino al 31 dicembre 2011, quale premio per l’assicurazione obbligatoria contro le malattie ai sensi dell’art. 8 cpv. 1 lett. g della legge va inteso il premio riconosciuto per il sussidio per la riduzione dei premi dell’assicurazione di base contro le malattie. Ai sensi del nuovo art. 8 cpv. 1 lett. g Laps, modificato a seguito del sostanziale mutamento che ha interessato il sistema di riduzione dei premi dell’assicurazione obbligatoria delle cure medico sanitarie (RIPAM) e in vigore dal 1° gennaio 2012 (Bollettino Ufficiale 2010, 297 ; cfr. consid. 2.5.), i premi dell’assicurazione malattie corrispondono ai premi ordinari per l’assicurazione obbligatoria contro le malattie vigenti al momento della richiesta, ma al massimo fino al raggiungimento dell’importo del premio medio di riferimento. Secondo, poi, l’art. 4 Reg.Laps, come modificato a decorrere dal 1° gennaio 2012, quale premio per l’assicurazione obbligatoria contro le malattie ai sensi dell’art. 8 cpv. 1 lett. g della legge va inteso il premio ordinario per singolo assicuratore approvato dall'autorità federale : a)  per la rispettiva categoria di assicurato in base all'età attuale (fino a 18 anni, tra i 18 e 25 anni, superiore a 25 anni); b) con franchigia ordinaria; c)   con rischio di infortunio incluso; d) ponderato per regioni di premio ammesse dalla LAMal, in analogia a quanto previsto dall’art. 29 cpv. 1 LCAMal. In proposito cfr. STCA 42.2012.18 del 14 agosto 2013 consid. 2.13. e 2.14.; STCA 42 2012.14 del 20 febbraio 2013 consid. 2.14. e 2.15. 2.13.   Relativamente ai nuovi conteggi delle prestazioni assistenziali che l’USSI effettuerà per il periodo novembre 2011 - febbraio 2012, giova segnalare che con sentenza DTF 122 V 19 l’Alta Corte, pronunciandosi in merito a un caso di prestazioni complementari all’AVS/AI, ha stabilito che se, contestualmente a una procedura di restituzione, da un nuovo calcolo delle prestazioni, effettuato considerando tutte le modificazioni di fatti rilevanti comportanti un aumento o una diminuzione del reddito computabile, risultava un importo a favore dell’assicurato, il pagamento di PC arretrate era comunque escluso. Con giudizio 9C_58/2012 del 8 giugno 2012, pubblicato in DTF 138 V 298, il Tribunale federale ha poi deciso che la regola giurisprudenziale (posta nella DTF 122 V 19 ) secondo cui il pagamento retroattivo di prestazioni complementari è escluso nel caso di nuovo calcolo delle prestazioni stesse (nell'ambito di una domanda di restituzione) non può essere mantenuta sotto l'imperio dell' art. 24 cpv. 1 della Legge federale sulla parte generale del diritto delle assicurazioni sociali (LPGA) in vigore dal 1° gennaio 2003. L’art. 24 cpv. 1 LPGA sancisce che il diritto a prestazioni o contributi arretrati si estingue cinque anni dopo la fine del mese per cui era dovuta la prestazione e cinque anni dopo lo scadere dell'anno civile per cui il contributo doveva essere pagato. L’art. 24 cpv. 1 LPGA non è, tuttavia, applicabile all’assistenza sociale, in quanto quest’ultima non è un’assicurazione sociale federale e non prevede un rinvio esplicito a tale disposto della LPGA. Nel settore dell’assistenza sociale, per contro, ai sensi dell’art. 61 cpv. 2 Las l’autorità competente può per un periodo limitato, effettuare versamenti retroattivi di prestazioni assistenziali speciali e di prestazioni assistenziali ordinarie se le circostanze o il particolare stato di bisogno del richiedente lo giustificano. L’art. 5 Reg.Las enuncia che la retroattività delle prestazioni assistenziali è limitata a tre mesi. La concessione di prestazioni retroattive rappresenta, però,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D’altronde lo scopo delle prestazioni assistenziali è quello di permettere al richiedente di far fronte ai propri bisogni attuali, garantendogli il minimo vitale e evitando che la persona debba in seguito indebitarsi per poter vivere costituiscono (cfr. STF 8C_433/2009 del 12 febbraio 2010 consid. 7.1.3., pubblicata in DTF 136 I 129; Messaggio aggiuntivo del 7 giugno 2006 relativo alla modifica della legge sull’armonizzazione e il coordinamento delle prestazioni sociali del 5 giugno 2000 (Laps), p.to 1.b). Al riguardo cfr. pure STCA 42.2013.3 del 25 settembre 2013 consid. 2.9.; STCA 42.2012.4 del 19 luglio 2012 consid. 2.11.; STCA 42.2006.14 dell’11 gennaio 2007 confermata dalla STF 8C_3/2007 dell’8 giugno 2007. Questa Corte ritiene, quindi, che, nel caso in cui dai nuovi calcoli delle prestazioni assistenziali spettanti alla ricorrente nel lasso di tempo novembre 2011 – febbraio 2012 non dovesse risultare alcun importo da restituire, bensì un ammontare a suo favore, un pagamento retroattivo sarebbe comunque escluso.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