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42.2012.9 vom 24. Oktober 2012</w:t>
      </w:r>
    </w:p>
    <w:p>
      <w:r>
        <w:t>TI Tribunale d'appello, 2012-10-24, IT</w:t>
      </w:r>
    </w:p>
    <w:p>
      <w:r>
        <w:rPr>
          <w:b/>
        </w:rPr>
        <w:t xml:space="preserve">Quelle: </w:t>
      </w:r>
      <w:r>
        <w:t>https://mcp.opencaselaw.ch/entscheid/ti_gerichte_42.2012.9</w:t>
      </w:r>
    </w:p>
    <w:p>
      <w:r>
        <w:t>FR: TI_GERICHTE 42.2012.9 du 24 octobre 2012</w:t>
      </w:r>
    </w:p>
    <w:p>
      <w:r>
        <w:t>IT: TI_GERICHTE 42.2012.9 del 24 ottobre 2012</w:t>
      </w:r>
    </w:p>
    <w:p>
      <w:pPr>
        <w:pStyle w:val="Heading2"/>
      </w:pPr>
      <w:r>
        <w:t>Regeste</w:t>
      </w:r>
    </w:p>
    <w:p>
      <w:r>
        <w:t>Negato AS da 9/11 e chiesto restit.da 6/10,tenendo conto di propr.immob.all'estero.Rettam.computato valore dell'immob.=a quello della perizia esperita in quel Paese in Euro e convertito in fr.Anche considerando 1/2valore(1/2 della moglie)e deducendo debiti,non dt a AS.Negato GP(davanti a TCA e USSI)</w:t>
      </w:r>
    </w:p>
    <w:p>
      <w:pPr>
        <w:pStyle w:val="Heading2"/>
      </w:pPr>
      <w:r>
        <w:t>Erwägungen</w:t>
      </w:r>
    </w:p>
    <w:p>
      <w:r>
        <w:rPr>
          <w:b/>
        </w:rPr>
        <w:t>E. 3</w:t>
      </w:r>
    </w:p>
    <w:p>
      <w:r>
        <w:t>persone 1786.-- 100.-- 1886.--</w:t>
      </w:r>
    </w:p>
    <w:p>
      <w:r>
        <w:rPr>
          <w:b/>
        </w:rPr>
        <w:t>E. 4</w:t>
      </w:r>
    </w:p>
    <w:p>
      <w:r>
        <w:t>persone 2054.-- 100.-- 2154.--</w:t>
      </w:r>
    </w:p>
    <w:p>
      <w:r>
        <w:rPr>
          <w:b/>
        </w:rPr>
        <w:t>E. 4.1</w:t>
      </w:r>
    </w:p>
    <w:p>
      <w:r>
        <w:t>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2.13.   In secondo luogo, il TCA ricorda che ai sensi dell’art. 22 lett. a cfr. 2 Las (cfr. consid. 2.6.)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poi, che sono imponibili tutti gli attivi mobiliari e immobiliari. Inoltre giova rilevare che con sentenza 42.2009.19 dell’8 giugno 2010, massimata in Rtid I-2011 N. 12 pag. 50, il TCA, nel caso di un ricorrente a cui il diritto a una prestazione assistenziale era stato negato a seguito del conteggio del valore di un immobile di cui era proprietario all’estero, ha stabilito che un immobile sito all’estero va considerato nel calcolo volto a determinare l’eventuale diritto a una prestazione assistenziale, computando il suo valore patrimoniale convertito in franchi svizzeri. In effetti, in assenza di stime vincolanti relative al fondo e all’abitazione in questione, riferite alla situazione attuale, il TCA può fare propria la conclusione dell’USSI secondo cui il valore di mercato di fr. 179’454.-- è plausibile, in quanto coerente con il debito ipotecario di fr. 125’914.-- gravante l’immobile. Riguardo alle obiezioni del ricorrente secondo cui, da un lato, l’abitazione è molto modesta, senza riscaldamento, senza acqua potabile, senza allacciamento alla rete del gas e alle canalizzazioni, senza pavimenti e senza tinteggiatura esterna e interna, dall’altro, nella sua attuale situazione economica, sarebbe costretto a farsi prestare i soldi anche solo per poter pagare gli interessi ipotecari, è stato ribadito che non esiste, per principio, il diritto a conservare una sostanza immobiliare. Le direttive della Conferenza svizzera delle istituzioni dell’azione sociale (COSAS) del 2005 al punto E.2.2 aggiornato nel dicembre 2008, relativo al computo della sostanza immobiliare, prevedono, del resto, che non esiste, per principio, il diritto a conservare una sostanza immobiliare. I beni immobiliari (in particolare gli stabili e le parti di comproprietà) in possesso di un beneficiario sono considerati quali risorse private del medesimo. I proprietari di beni immobiliari non devono essere soggetti a un trattamento diverso rispetto ai detentori di risparmi o titoli. Nei casi in cui la prestazione di sostegno sociale fosse poco rilevante, o se l’intervento rappresenta un contributo solo momentaneo, o se il ricavato della vendita del bene fosse troppo esiguo, l’autorità del sostegno sociale potrà rinunciare a esigere la liquidazione del bene immobile. Sempre secondo la direttiva, i beni immobiliari situati all’estero sono da considerare, per principio, come quelli che si trovano in Svizzera. Se l’autorità competente giudica opportuno che il beneficiario possa conservare l’immobile, si tratterà d’iscrivere un’ipoteca legale esigibile al momento dell’alienazione dell’immobile o del decesso del beneficiario. 2.14.   Nel caso di specie, attentamente esaminata la documentazione agli atti, il TCA non può che approvare l’operato dell’USSI che ha considerato la sostanza immobiliare di proprietà del ricorrente in __________ ai fini della determinazione del diritto a prestazioni assistenziali a decorrere dal mese di settembre 2011. Innanzitutto va osservato che, per quel che concerne il principio della computabilità della sostanza, essa deve venire presa in considerazione visto il carattere sussidiario delle prestazioni assistenziali (cfr. consid. 2.4.; 2.12.). Per questo motivo la giurisprudenza e le direttive della COSAS prevedono che di regola non esiste il diritto a conservare una sostanza immobiliare (cfr. consid. 2.13.). Ciò vale a maggiore ragione per un immobile situato all'estero che non costituisce, dunque, l'abitazione primaria del richiedente di prestazioni assistenziali. Il ricorrente, nella sua impugnativa, ha indicato che la situazione economica in __________ è alquanto distante da quella svizzera, per cui la casa sita nel Comune di __________ non ha alcun valore di mercato (cfr. doc. I pag. 6). Al riguardo questo Tribunale si limita a evidenziare che la perizia del luglio 2011 è stata effettuata in __________ da un esperto di quella zona, il quale, per determinare il valore del fondo (terreno + edificio residenziale + edificio accessorio) ha tenuto conto dei prezzi vigenti in quel Paese, specificando espressamente che per la valutazione del terreno il valore è stato calcolato sulla base dei prezzi di mercato per i terreni simili in quella zona (cfr. doc. A11). L’insorgente ha, altresì, fatto valere che non può essere fatto capo al valore di cui alla perizia del luglio 2011, in quanto l’immobile non si trova in una zona di attrattiva turistica (cfr. doc. I pag. 3, 5). Il fatto che il perito abbia tenuto conto dei prezzi di mercato della zona implica che sia stato considerato che il fondo del ricorrente non è ubicato in una zona di pregio. Lo scritto del perito ing. __________, non datato ma prodotto dalla parte ricorrente il 2 luglio 2012 (cfr. doc. A16; IX), ossia un anno dopo l’allestimento della perizia del luglio 2011, secondo cui una possibile vendita del fondo di __________ risulta problematica, visto che si trova in una zona depressa rispetto alla costa e le banche locali hanno oggettive difficoltà ad accordare dei crediti per facilitarne l’acquisto, come pure che personalmente non crede che l’immobile possa essere messo sul mercato essendo peraltro incompleto, non è, poi, sufficiente a dimostrare la difficoltà ad alienare il menzionato fondo. Infatti lo scritto pervenuto al TCA il 3 luglio 2012 si rivela in ogni caso laconico e non motivato, ossia non sono state indicate circostanze specifiche che avrebbero permesso di concludere che la vendita del fondo in __________ risulta difficoltosa. In particolare non è stato indicato se sono o meno stati compiuti dei tentativi per alienare il fondo, né le relative modalità e raggio di azione (cfr. STCA 42.2004.3 del 17 maggio 2005, pubblicata in Rtid II-2005 N. 14 pag. 59 segg.). Per quanto attiene all’asserzione del ricorrente, secondo cui per poter vendere l’immobile necessita dell’autorizzazione dell’ex moglie, essendo quest’ultima, a seguito del divorzio, proprietaria di 1/3 dello stesso, va rilevato che in effetti nel verbale di udienza del 18 marzo 2012 della Pretura di __________ 6 è stato indicato che RI 1 e __________ hanno concluso una convenzione da cui emerge, segnatamente, che il loro matrimonio contratto a __________ il 14 maggio 1995 è sciolto per divorzio e che il regime dei beni viene sciolto e liquidato con l’assegnazione in proprietà alla moglie da parte del marito di 1/3 dei beni immobiliari siti a __________, __________. A quest’ultimo proposito è stato pure previsto che in caso di vendita del fondo croato, il ricavato verrà diviso tra i coniugi nella misura di 1/3 alla moglie e 2/3 al marito (cfr. doc. A9). Dall’accordo al quale sono addivenuti il ricorrente e la ex moglie risulta, quindi, che è stata presa in considerazione l’ipotesi di vendita del fondo. La ex moglie, dunque, non esclude la possibilità di vendere il fondo, non avendo manifestato una contrarietà di principio a un simile atto. Infine il riferimento da parte dell’insorgente (cfr. d oc. I pag. 8) alle direttive COSAS p.to E 2.2., e meglio al fatto che le stesse contemplino che nei casi in cui la prestazione di sostegno sociale fosse poco rilevante, o se l’intervento rappresenta un contributo solo momentaneo, o se il ricavato della vendita del bene fosse troppo esiguo, l’autorità del sostegno sociale potrà rinunciare a esigere la liquidazione del bene immobile (cfr. consid. 2.13.), si rivela in casu ininfluente. In effetti non sono adempiuti i presupposti appena menzionati previsti dalle direttive COSAS per procedere alla rinuncia di esigere la vendita di un fondo. Più precisamente la prestazione assistenziale non è poco rilevante o momentanea, ritenuto che il ricorrente percepiva prestazioni dall’assistenza sociale dal giugno 2010 e che dal febbraio 2011 all’agosto 2011 l’importo corrispondeva a fr. 2'833.-- al mese (cfr. doc. 353; 366). In relazione al ricavato della vendita, va rilevato, da un lato, che l’importo fissato nella perizia del luglio 2011 di Euro 157'822.96 non risulta troppo esiguo, dall’altro, che non si è confrontati con una proposta concreta di ricavato troppo esiguo del fondo. 2.15.   Per quanto attiene al valore dell’immobile dell’insorgente sito in __________ conteggiato dall’USSI, questa Corte ribadisce che nella perizia del luglio 2011 l’ing. __________ ha valutato in Euro 157'822.96 il prezzo complessivo del fondo (cfr. doc. A11). Nella decisione del 1° settembre 2011, confermata dalla decisione su reclamo del 29 marzo 2012, l’amministrazione ha tenuto conto di tale importo convertito in franchi svizzeri per un ammontare di fr. 182'450.-- (cfr. doc. 31; A1). Nel settembre 2011 la Banca nazionale svizzera (BNS) ha fissato a 1 franco e 20 per un euro la soglia minima sotto la quale il tasso di cambio non deve scendere. La decisione della BNS è ancora valida (cfr. www.evd.admin.ch ; www.snb.ch ; www.swissinfo.ch). In simili condizioni, applicando al valore stabilito dal perito di Euro 157'822.96 il tasso di cambio euro-franco di 1,20, si ottiene la somma di fr. 189'387.--. Nel caso di specie può restare aperta la questione di sapere quale importo se fr. 182'450.-- o fr. 189'387.-- sia corretto, in quanto già utilizzando l’ammontare conteggiato dall’USSI di fr. 182'450.--, più favorevole al ricorrente, la decisione su reclamo deve essere confermata. 2.16.   Il reddito computabile è nullo (cfr. doc. 122). La sostanza computabile conteggiata dall’USSI ammonta a fr. 170'450.-- annui (valore complessivo dell’immobile di fr. 182'450.-- - quota esente di fr. 12'000.--; cfr. consid. 2.15.; 2.6.; 2.13.), che equivalgono a fr. 14’204.-- mensili (cfr. doc. 122). Al riguardo va, però, osservato che 1/3 dell’immobile è di proprietà della ex moglie (cfr. consid. 2.14.), per cui ai fini del calcolo dell’assistenza sociale devono essere presi in considerazione unicamente i 2/3 del valore del fondo di proprietà del ricorrente, pari all’importo di fr. 121'633.-- (2/3 di fr. 182'450.--), da cui va dedotta la quota esente di fr. 12'000.--, ottenendo la somma di fr. 109'633.--. Il ricorrente ha fatto valere di essere debitore nei confronti del figlio __________ di fr. 30'000.-- in relazione alla costruzione della casa di __________ (cfr. doc. I; A7). Anche volendo considerare l’intero debito a carico dell’insorgente - senza chiedersi se effettivamente il figlio vanti questo credito e se non debba essere suddiviso tra il ricorrente e la ex moglie in ragione delle loro quote di proprietà -, e quindi tenendo conto quale sostanza computabile dell’importo di fr. 79'633.--, ottenuto deducendo l’importo di fr. 30'000.-- dalla somma di fr. 109'633.--, l’esito della vertenza, come verrà esposto nelle considerazioni che seguono, non muterebbe. Le spese computabili sono, invece, composte della spesa per l’alloggio di fr. 13’800.-- e dai premi per l’assicurazione malattia calcolati in fr. 5’424.--, per un totale di fr. 19’224.-- annui, rispettivamente fr. 1’602.-- mensili (cfr. doc. 122). La soglia di intervento per il 2011 del ricorrente, nella cui unità di riferimento è compreso anche il figlio __________ nato nel 1995, è pari a fr. 1’595.-- al mese (cfr. art. 19 Las; consid. 2.5.), come riconosciuto dall’Ufficio resistente (cfr. doc. 122). Come indicato sopra, hanno diritto alla prestazione assistenziale ordinaria coloro il cui reddito disponibile residuale, sommato alle prestazioni sociali di complemento effettivamente percepite sulla base della Laps, non raggiunge la soglia di intervento (cfr. art. 18 Las; consid. 2.5.). In casu, il sussidio della cassa malati ammonta a fr. 375.-- al mese (cfr. doc. 122). Il ricorrente non dispone di alcun reddito computabile Las, mentre dispone di una sostanza computabile Las di fr. 6’636.-- (fr. 79'633.-- : 12 mesi) e del sussidio della cassa malati di fr. 375.--, per complessivi fr. 7’011.--. Il fabbisogno e le spese computabili Laps ammontano a fr. 1'595.--, rispettivamente 1'602.-- per complessivi fr. 3’197.--. Egli presenta, quindi, una eccedenza di reddito Las di fr. 3’814.-- (fr. 7'011 – fr. 3'197) e non ha, dunque, diritto alla prestazione assistenziale a far tempo dal mese di settembre 2011. 2.17.   Per quanto concerne il principio della restituzione delle prestazioni assistenziali percepite nel periodo giugno 2010 - agosto 2011 va osservato che i calcoli effettuati nel 2010-2011 non avevano considerato alcunché a titolo di sostanza computabile (cfr. doc. 414, 412, 397, 390, 385, 366). Pertanto il fatto di aver appreso nell’agosto 2011, tramite la Pretura di __________ (cfr. doc. 10; 169), che l’insorgente è proprietario in ragione di 2/3 dell’immobile sito in __________ costituisce un cambiamento importante nella situazione economica del medesimo. Visto, poi, che il valore del fondo va tenuto in considerazione ai fini dell’assistenza sociale (cfr. consid. 2.14.), il calcolo della prestazione assistenziale attinente al lasso di tempo giugno 2010 – agosto 2011 andava, di conseguenza, rivisto sulla base della sostanza immobiliare di proprietà dell’insorgente. Il ricorrente, da un profilo oggettivo, ha perciò effettivamente percepito a torto le prestazioni assistenziali afferenti al periodo giugno 2010 – agosto 2011. La parte ricevuta indebitamente va così restituita. Nel ricorso è stato affermato che l’insorgente non ha senza dubbio voluto sottacere all’USSI di possedere un immobile in __________, che il medesimo era in buona fede e che, a causa delle sue difficoltà linguistiche, non è stato in grado di far comprendere all’Ufficio delle famiglie e dei minorenni, al quale si era rivolto per un aiuto anche al fine di inoltrare la domanda di assistenza sociale, di essere proprietario di un fondo in __________ (cfr. doc. I pag. 4). Tali argomentazioni esulano, tuttavia, dalla presente vertenza, concernendo la buona fede, presupposto del condono (cfr. art. 26 cpv. 3 Laps; consid. 2.8.), che non è oggetto della lite (cfr. consid. 2.2.). Per inciso giova rilevare che per costante giurisprudenza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2.18.   Relativamente all’importo richiesto in restituzione, va osservato che l’USSI ha ordinato il rimborso della somma complessiva di prestazioni assistenziali ricevute dal mese di giugno 2010 al mese di agosto 2011 di fr. 45'519.90 (cfr. doc. 31; 128). Al riguardo è utile rilevare che l’insorgente ha percepito prestazioni assistenziali mensili ordinarie e speciali, conteggiate in un’unica decisione, pari a fr. 953.-- per il mese di giugno 2010 (cfr. doc. 414), a fr. 2'796.-- per i mesi da luglio a dicembre 2010 (cfr. doc. 412; 397; 390), a fr. 2'742.-- per il mese di gennaio 2011 (cfr. doc. 385) e a fr. 2'822.-- per i mesi da febbraio ad agosto 2011 (cfr. doc. 366), corrispondenti a complessivi fr. 40'225.--, oltre ad ulteriori prestazioni speciali stabilite con decisioni distinte relative al periodo giugno 2010 – agosto 2011 per un importo globale di fr. 5'294.90 (cfr. doc. 333 – 349; 128). Tenuto conto di tutto quanto emerso, segnatamente del fatto che il valore dell’immobile sito in __________ di proprietà del ricorrente corrisponde a fr. 121'633.-- (2/3 di fr. 182'450.--; cfr. consid. 2.16.) e che dal calcolo effettuato per il periodo a decorrere dal mese di settembre 2011, conteggiando una sostanza computabile Las di fr. 79'633.-- (fr. 121'633 – fr. 12'000 quota esente – fr. 30'000 debito nei confronti del figlio; cfr. consid. 2.16.), pari a fr. 6'636.-- al mese, è emersa un’eccedenza di fr. 3'814.-- (cfr. consid. 2.16.), non presta fianco a critiche la conclusione dell’amministrazione secondo cui per i mesi da giugno 2010 ad agosto 2011 l’insorgente ha ricevuto a torto l’intera prestazione assistenziale mensile versatagli, pari a fr. 45'519.90 che deve, quindi, restituire. 2.19.   Con il ricorso l’insorgente ha chiesto al TCA di essere sentito, come pure di procedere all’audizione di __________dell’Ufficio delle famiglie e dei minorenni e di richiamare dalla Pretura e dall’UFaM gli incarti che lo concernono (cfr. doc. I pag. 4). Per quanto concerne, in particolare, l’audizione personale, va ribadito che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(cfr.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ma ha semplicemente domandato di essere sentito da questo Tribunale come teste (cfr. doc. I pag. 10).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8C_845/2009 del 7 dicembre 2009; STF I 1018/06 del 16 gennaio 2008 consid. 5.3.; STFA U 416/04 del 16 febbraio 2006, consid. 3.2.; STFA H 411/01 del 5 marzo 2003; STFA H 102/01 dell'11 gennaio 2002; STFA H 103/01 dell'11 gennaio 2002; STFA H 299/99 dell'11 gennaio 2002;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simili condizioni, considerato che la documentazione già presente all’inserto consente al TCA di emanare il proprio giudizio, questo Tribunale ritiene che le audizioni postulate, nonché il richiamo di documenti non potrebbero mettere in luce nuovi elementi ai fini del giudizio. Di conseguenza la richiesta dell’insorgente concernente la sua personale audizione, l’audizione di un teste e il richiamo di alcuni incarti deve essere respinta. 2.20.   La decisione su reclamo del 29 marzo 2012, con cui l’USSI ha ribadito quanto stabilito con il provvedimento del 1° settembre 2011, ossia che l’insorgente non ha diritto ad alcuna prestazione assistenziale a far tempo dal mese di settembre 2011 e che è tenuto a restituire la somma di fr. 45’519.90, corrispondenti a prestazioni assistenziali ricevute nel lasso di tempo giugno 2010 – agosto 2011, deve, conseguentemente, essere confermata. 2.21. Il ricorrente ha chiesto il gratuito patrocinio degli avv. RA 1 (doc. I pag. 12). Secondo l’art. 28 cpv. 2 Lptca la disciplina della difesa d’ufficio gratuito patrocinio è retta dalla Legge sul patrocinio d’ufficio e sull’assistenza giudiziaria. L'art. 3 Lag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Las, della Laps, della giurisprudenza pubblicata nel sito www.sentenze.ti.ch , nonché nella Rivista ticinese di diritto e in riviste specialistiche,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che il ricorrente, essendo proprietario di un immobile in __________ in ragione di 2/3, pari a un valore di fr. 121'633.-- (2/3 di fr. 182'450.--; cfr. consid. 2.15.; 2.16.), non ha diritto a prestazioni assistenziali dal mese di settembre 2011 e deve restituire quanto percepito dal mese di giugno 2010 al mese di agosto 2011.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 2.22.   L’insorgente ha pure postulato il gratuito patrocinio per la procedura di reclamo (cfr. doc. I pag. 12). L'art. 37 LPGA, relativo alla rappresentanza e patrocinio nella procedura davanti all'assicuratore, applicabile in virtù del rinvio di cui agli art. 22, 36 Las e 33 cpv. 3 Laps,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In casu, alla luce di quanto esposto al considerando precedente in merito al fatto che il procedimento non aveva probabilità di esito favorevole, il gratuito patrocinio deve essere negato anche per la procedura di reclamo, indipendentemente dalla questione di sapere se l’assistenza di un legale era necessario o meno (cfr. doc. I pag. 9; A1). Per inciso va, in ogni caso, rilevato che il Tribunale federale ha stabilito che un livello di formazione non elevato e le scarse conoscenze linguistiche non sono sufficienti per considerare necessario il patrocinio di un avvocato. La necessità di un avvocato deve essere valutata alla luce della difficoltà del caso dal profilo oggettivo (cfr. STF 9C_105/2007 del 13 novembre 2007 citata al consid. 2.4.).</w:t>
      </w:r>
    </w:p>
    <w:p>
      <w:r>
        <w:rPr>
          <w:b/>
        </w:rPr>
        <w:t>E. 5</w:t>
      </w:r>
    </w:p>
    <w:p>
      <w:r>
        <w:t>persone 2323.-- 100.-- 2423.--</w:t>
      </w:r>
    </w:p>
    <w:p>
      <w:r>
        <w:rPr>
          <w:b/>
        </w:rPr>
        <w:t>E. 5.1</w:t>
      </w:r>
    </w:p>
    <w:p>
      <w:r>
        <w:t>pag. 390 con riferimenti). 2.11.   Nella presente fattispecie dalle carte processuali emerge che RI 1 è proprietario a __________ in __________ di un immobile (particella del catasto __________) costituito da un terreno di 1'498 m2, nonché da un edificio residenziale di 267,16 m2 e da uno stabile accessorio di 63,32 m2 costruiti nel 1997 (cfr. doc. A9). Da una perizia esperita nel luglio 2011 da __________, perito giudiziario in ingegneria civile ed esperto in stime immobiliari, risulta che il valore del fondo in __________ corrisponde a Euro 157'822.96 (cfr. doc. A11). L’USSI, con decisione del 1° settembre 2011, ha negato al ricorrente il diritto a una prestazione assistenziale dal mese di settembre 2011 e gli ha richiesto la restituzione della somma di fr. 45'519.90 corrispondenti a prestazioni assistenziali ricevute nel periodo giugno 2010 - agosto 2011, in quanto ha computato il valore dell’immobile di proprietà del ricorrente sito in __________ di Euro 157'822.96, pari a fr. 182'450.-- di cui al momento dei calcoli afferenti al periodo giugno 2010 – agosto 2011 non era a conoscenza (cfr. doc. 31; A1). L’insorgente ha contestato tale modo di procedere dell’amministrazione, chiedendo di non tener conto del valore del fondo in __________, poiché quest’ultimo è stato assegnato alla moglie in ragione di 1/3 del valore nell’ambito della liquidazione del regime matrimoniale nella procedura di divorzio. Egli ha, poi, evidenziato che sul terreno in __________ pervenutogli dalla successione della madre, nel corso degli anni a partire dal 1995, anche grazie agli aiuti economici del figlio __________, che non appena sarà in grado dovrà restituire, è stata costruita un’abitazione ancora da completare. L’insorgente ha, inoltre, asserito che la casa in __________, di sua proprietà per 2/3, difficilmente potrà essere venduta, considerata la sua ubicazione in una zona dell’entroterra __________, priva di attrattiva turistica, e che comunque il prezzo andrà ridotto drasticamente rispetto a quello stabilito nella perizia (cfr. doc. I) 2.12.   Chiamata a pronunciarsi in merito alla fattispecie, questa Corte, in primo luogo, ritiene utile sottolineare che nell’ambito dell’assistenza sociale vige il principio della sussidiarietà di cui agli art. 2 Las e 13 Laps (cfr. consid. 2.4.).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A tale proposito l’Alta Corte, in una sentenza K 22/04 del 22 ottobre 2004 consid. 2.3.1., pubblicata in RAMI 2005 pag. 30, ha infatti indicato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Il Tribunale federale ha, invece, sottolineato che: " (…) 3.7.1 Mit Blick auf die weiter geltend gemachte Verletzung des Subsidiaritätsprinzips und der damit zusammenhängenden Frage der Abklärung bestehender Ansprüche der unterstützten Person Dritten gegenüber ist unbestritten, dass sowohl hinsichtlich der Nothilfe nach Art.</w:t>
      </w:r>
    </w:p>
    <w:p>
      <w:r>
        <w:rPr>
          <w:b/>
        </w:rPr>
        <w:t>E. 6</w:t>
      </w:r>
    </w:p>
    <w:p>
      <w:r>
        <w:t>persone 2592.-- 100.-- 2692.--</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(cfr. Direttive riguardanti gli importi delle prestazioni assistenziali per il 2012 del 16 dicembre 2011). 2.6.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2.7.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2.8.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2.9.   Secondo la giurisprudenza in vigore in materia di restituzione in ambito LAVS, applicabile alla LPC e quindi, secondo il tenore del Messaggio del 1° luglio 1998 menzionato sopra (cfr. consid. 2.8.),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2.8.). 2.10.   Nell’evenienza concreta va dapprima osservato che con il ricorso RI 1 ha fatto valere di non essere stato sentito prima dell’emanazione della decisione formale del 1° settembre 2011 (cfr. doc. I pag. 7). Il ricorrente invoca, dunque, una violazione del diritto di essere sentito. Secondo gli art. 29 cpv. 2 Cost. e 42 LPGA, applicabile in virtù del rinvio di cui agli art. 22, 36 Las e 33 Laps, il diritto di essere sentito deve essere garantito al più tardi durante la procedura di opposizione, rispettivamente di reclamo (cfr. STFA I 618/04 del 20 settembre 2006; STFA C 279/03 del 30 settembre 2005; STFA C 49/03 del 23 giugno 2003; STFA H 272/03 del 22 dicembre 2003; STFA C 91/02 del 6 agosto 2002). Al riguardo, inoltre, il TFA, in una sentenza I 158/04 del 30 giugno 2006, pubblicata in DTF 132 V 368 e SVR 2007 IV Nr. 9 pag. 30, ha stabilito che l'amministrazione deve chiarire i fatti determinanti prima di rendere la sua decisione e non può rinviare questo compito alla procedura di opposizione. Sono fatte salve le misure d'istruzione complementari che si rendono necessarie in seguito alle obiezioni sollevate con l'opposizione. Occorre distinguere l'accertamento dei fatti e il rispetto del diritto di essere sentito. L'audizione delle parti, che costituisce un aspetto del diritto di essere sentito, non è necessaria nella procedura d'istruzione che precede l'emanazione di decisioni impugnabili mediante opposizione. La LPGA contiene a questo proposito una regolamentazione esaustiva. In proposito cfr. pure DTF 136 V115-116; DTF 136 V 124. In concreto è vero che dalla documentazione agli atti non risulta che il ricorrente sia stato sentito precedentemente all’emissione della decisione del 1° settembre 2011. Dal Rapporto – procedura di reclamo dell’11 ottobre 2011 allestito dall’USSI si evince unicamente che: " Siamo venuti a conoscenza tramite la Pretura di __________, che tratta la procedura di divorzio, che il signor RI 1 è proprietario di due immobili all’estero. Abbiamo dunque richiesto sia alla Pretura che al signor __________ di produrre tutta la documentazione ufficiale, con traduzione italiana, attestante il valore di stima delle due proprietà. Il signor RI 1 ha chiamato più volte dicendo di non sapere di dover dichiarare tali proprietà al nostro ufficio.” (Doc. 109) Egli, però, peraltro rappresentato da un avvocato, in sede di reclamo ha potuto ampiamente esprimersi in merito alla fattispecie (cfr. doc. 21) in conformità agli art. 29 cpv. 2 Cost. e 42 LPGA, nonché alla giurisprudenza di cui alla DTF 132 V 368. Giova, poi, rilevare che secondo la giurisprudenza federale una lesione non particolarmente grave del diritto di essere sentito può, in via eccezionale, essere sanata ove l'interessato abbia avuto la possibilità di esprimersi davanti a un'autorità di ricorso munita di piena cognizione (cfr. DTF 126 V 130 consid. 2b). Nella sentenza I 618/04 del 20 settembre 2006, già citata sopra, il TFA ha ribadito questo principio e al consid. 8.3. ha precisato: " (…)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(gleichlautenden und der Anhörung gleichgestellten) Interesse der versicherten Person an einer möglichst beförderlichen Beurteilung ihres Anspruchs nicht zu vereinbaren sind (BGE 116 V 187 Erw. 3d)." Nel caso in esame, pertanto, anche volendo, per pura ipotesi, considerare violato il diritto di essere sentito del ricorrente, il TCA ritiene che la lesione menzionata risulterebbe sanata. Da un lato, come già indicato, l’insorgente ha avuto comunque l’opportunità in sede di reclamo di esporre tutte le proprie considerazioni circa il computo nel calcolo della prestazione assistenziale del valore della sua proprietà immobiliare in __________. Dall’altro, questa Corte, davanti alla quale il ricorrente, sempre patrocinato da un legale, ha potuto esprimersi su tutti i punti della lite, gode di un pieno potere cognitivo (cfr. STFA I 618/04 del 20 settembre 2006; STFA C 116/04 del 22 dicembre 2004; STFA C 34/02 del 22 ottobre 2002; STCA 38.2006.10 del 26 luglio 2006; STCA 38.2005.57 del 30 novembre 2005). Inoltre per costante giurisprudenza è possibile prescindere da un rinvio della causa all'amministrazione se - come in concreto - una simile operazione si esaurirebbe in uno sterile esercizio procedurale e procrastinerebbe inutilmente il processo in contrasto con l'interesse - di pari rango del diritto di essere sentito - della parte ad essere giudicata celermente (cfr. STF 9C_937/2011 del</w:t>
      </w:r>
    </w:p>
    <w:p>
      <w:r>
        <w:rPr>
          <w:b/>
        </w:rPr>
        <w:t>E. 9</w:t>
      </w:r>
    </w:p>
    <w:p>
      <w:r>
        <w:t>luglio 2012 consid. 2.3.; DTF 132 V 387 consid.</w:t>
      </w:r>
    </w:p>
    <w:p>
      <w:r>
        <w:rPr>
          <w:b/>
        </w:rPr>
        <w:t>E. 12</w:t>
      </w:r>
    </w:p>
    <w:p>
      <w:r>
        <w:t>BV als auch im Rahmen der kantonal geregelten Sozialhilfe der Grundsatz der Subsidiarität gilt (vgl. etwa BGE 131 I 166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