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42.2011.23 vom 19. Juli 2012</w:t>
      </w:r>
    </w:p>
    <w:p>
      <w:r>
        <w:t>TI Tribunale d'appello, 2012-07-19, IT</w:t>
      </w:r>
    </w:p>
    <w:p>
      <w:r>
        <w:rPr>
          <w:b/>
        </w:rPr>
        <w:t xml:space="preserve">Quelle: </w:t>
      </w:r>
      <w:r>
        <w:t>https://mcp.opencaselaw.ch/entscheid/ti_gerichte_42.2011.23</w:t>
      </w:r>
    </w:p>
    <w:p>
      <w:r>
        <w:t>FR: TI_GERICHTE 42.2011.23 du 19 juillet 2012</w:t>
      </w:r>
    </w:p>
    <w:p>
      <w:r>
        <w:t>IT: TI_GERICHTE 42.2011.23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7</w:t>
      </w:r>
    </w:p>
    <w:p>
      <w:r>
        <w:t>novembre 1988 [Bollettino ufficiale delle leggi e degli atti esecutivi (BU) n. 55/1988 del 16 dicembre 1988 p. 355 segg.], in vigore fino al 30 giugno 2008).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(art. 23 cpv. 1 LIPG in relazione con gli art. 76 cpv. 1 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w:t>
      </w:r>
    </w:p>
    <w:p>
      <w:r>
        <w:rPr>
          <w:b/>
        </w:rPr>
        <w:t>E. 8</w:t>
      </w:r>
    </w:p>
    <w:p>
      <w:r>
        <w:t>marzo 2007 , l’UFPP aveva sollecitato la collaborazione della Sezione del militare e della protezione della popolazione (SMPP) attraverso la compilazione dei moduli “Giorni di servizio secondo i dati delle domande IPG” (cfr. il consid. 2.6.) e, d’altra parte, che questo lavoro di verifica era effettivamente terminato il 5 luglio 2007 (cfr. il consid. 2.7.). Dalla documentazione versata agli atti si evince che, in data 30 novembre 2009 , l’UFAS ha chiesto alla CCC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la milite in questione nel 2006 erano stati attestati ben 39 giorni di servizio (indennizzati 38 - cfr. doc. 600017), di cui 25 non potevano che essere dei giorni d’intervento ai sensi dell’art. 27 LPPC, segnatamente a favore della collettività -,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