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42.2011.11 vom 19. Januar 2012</w:t>
      </w:r>
    </w:p>
    <w:p>
      <w:r>
        <w:t>TI Tribunale d'appello, 2012-01-19, IT</w:t>
      </w:r>
    </w:p>
    <w:p>
      <w:r>
        <w:rPr>
          <w:b/>
        </w:rPr>
        <w:t xml:space="preserve">Quelle: </w:t>
      </w:r>
      <w:r>
        <w:t>https://mcp.opencaselaw.ch/entscheid/ti_gerichte_42.2011.11</w:t>
      </w:r>
    </w:p>
    <w:p>
      <w:r>
        <w:t>FR: TI_GERICHTE 42.2011.11 du 19 janvier 2012</w:t>
      </w:r>
    </w:p>
    <w:p>
      <w:r>
        <w:t>IT: TI_GERICHTE 42.2011.11 del 19 gennaio 2012</w:t>
      </w:r>
    </w:p>
    <w:p>
      <w:pPr>
        <w:pStyle w:val="Heading2"/>
      </w:pPr>
      <w:r>
        <w:t>Regeste</w:t>
      </w:r>
    </w:p>
    <w:p>
      <w:r>
        <w:t>A torto l'USSI ha ripartito la pigione effett.della ric.x2 e ha chiesto la rest.di prest.assist.Il figlio,infatti,dal'03 ha un'abit.indip.e nel'07 si è trasferito fuori Cantone.Secondo prob.prep.egli non abitava nell'econ.domest.della madre.Il manten.del domic.c/o la madre per la posta è irrilevante</w:t>
      </w:r>
    </w:p>
    <w:p>
      <w:pPr>
        <w:pStyle w:val="Heading2"/>
      </w:pPr>
      <w:r>
        <w:t>Erwägungen</w:t>
      </w:r>
    </w:p>
    <w:p>
      <w:r>
        <w:rPr>
          <w:b/>
        </w:rPr>
        <w:t>E. 3</w:t>
      </w:r>
    </w:p>
    <w:p>
      <w:r>
        <w:t>persone 1786.-- 100.-- 1886.--</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Al proposito, in un'altra sentenza P 56/00 del 5 luglio 2001 non pubblicata, il TFA, chiamato a statuire sulla deduzione della pigione nel caso di una vedova a beneficio della PC che viveva insieme ad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hiezu in der Lage ist und über eigenes Einkommen oder Vermögen verfügt. So verhält es sich hier unbestrittener massen jedoch nicht. (…)" . Con giudizio 33.2001.93 del 13 gennaio 2002 il TCA ha respinto la richiesta di una coppia di assicurati convivente con un'altra coppia di persone, di considerare interamente la pigione a carico del postulante le prestazioni complementari. Anche in una sentenza 33.2002.72 del 7 gennaio 2003 questo Tribunale ha respinto la richiesta di una madre, che condivideva l'appartamento con la figlia maggiorenne, di considerare il canone di locazione interamente a suo carico pur essendo la figlia in attesa di prestazioni AI a seguito di un grave incidente. Nel caso giudicato con sentenza 33.2001.55 del 10 giugno 2002 il TCA rammentava come l'UFAS ha commentato l'art. 16c OPC-AVS/AI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Questa Corte ha ammesso la divisione per due della pigione - come indicato dall'amministrazione - in un altro caso di convivenza tra madre e figlia (sentenza 33.2001.82 del 14 giugno 2002). In un’altra sentenza 33.2002.25 dell'11 settembre 2002 questo Tribunale ha ritenuto che due conviventi in età che avevano congiuntamente sottoscritto un contratto di locazione dovevano vedersi imputare la pigione in ragione di ½ ciascuno. Ancora, nella STCA 33.2005.10 del 28 marzo 2006, ribadita nella recente STCA 33.2010.2 del 19 agosto 2010, il Tribunale ha negato l'esistenza dell'eccezione al principio della suddivisione della pigione per teste, a motivo che la convivenza della mamma/suocera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del 6 settembre 2006, il TCA ha ritenuto che l'occupazione dell'abitazione da parte del ricorrente e di una signora, che svolgeva le faccende domestiche per conto del primo a causa dei suoi numerosi impedimenti di salute, sia paritaria e che pertanto la pigione lorda andava regolarmente suddivisa in parti uguali fra i due conviventi, non essendo il ricorrente neppure obbligato giuridicamente o moralmente ad ospitare questa signora. All ' assicurato è stata computata a titolo di pigione lorda la metà dell ' intero costo. Nella STCA 33.2007.9 del 12 novembre 2007 il ricorrente conviveva con la moglie e la figlia maggiorenne e quest'ultima, sebbene fosse un aiuto fisico e psicologico molto importante, non prestava loro cure "particolari" al punto da evitare un ricovero in casa anziani/di cura. Pertanto, il Tribunale ha deciso che poiché conviveva con il ricorrente ma non era beneficiaria di PC, la figlia era esclusa per definizione dal calcolo PC dei genitori. Anche nella sentenza 33.2009.7 del 18 novembre 2009 il TCA ha suddiviso il costo della pigione lorda tra il padre in età AVS e la figlia maggiorenne convivente. Infine con sentenza 33.2010.8 del 10 novembre 2010 questa Corte, contrariamente a quanto deciso dalla Cassa cantonale di compensazione, ha stabilito che l’appartamento di 2 ½ locali di un assicurato e di sua moglie era abitato soltanto da queste due persone e non dalla figlia del ricorrente 44enne. Al riguardo il TCA ha considerato quanto segue: " (…) Da una parte vi sono degli elementi a favore della conclusione che l'assicurato convive con la moglie e la figlia 44enne. Infatti, nel formulario per richiedere le PC, l'assicurato ha risposto " sì " alla domanda n. 53 e quindi ha affermato di avere un'economia propria. Alla successiva domanda, la n. 54 che recita: " Se sì, quali persone non indicate alle cifre 1-19 convivono nella vostra economia domestica " (sottolineatura della redattrice), l'interessato ha indicato i nomi di __________ e __________, nonché il rispettivo anno di nascita e lo statuto familiare. Un altro indizio è la dichiarazione del Comune di __________, che ha attestato che la figlia è domiciliata in via __________. Dall'altra parte, vi sono delle circostanze che attestano a favore di una convivenza soltanto fra l'insorgente e la moglie. Una di esse va ricercata nella seconda dichiarazione dell'assicurato in risposta alla domanda del TCA. Egli ha infatti precisato che la figlia ha il domicilio al suo stesso indirizzo unicamente per via del recapito postale e che il suo appartamento è costituito di una sola stanza e di un soggiorno, ciò che rende impossibile la convivenza di tre persone. Inoltre, il contratto d'affitto stipulato il 14 febbraio 2007 ed entrato in vigore il mese seguente (doc. A5) prevede che l'appartamento locato in cui vive l'interessato è composto di 2 ½ locali ed è adibito ad abitazione familiare per due persone. L'udienza del 27 settembre 2010 ha infine chiarito la situazione. Va quindi definitivamente ritenuto che __________ non abita con il padre e la di lui moglie ma, per comodità, essendo l'abitazione del papà più vicina al suo posto di lavoro, ella va da lui tutti i giorni a pranzo. Solo talvolta la figlia si ferma a dormire dal padre sul divano-letto in salotto e ciò avviene quando il ricorrente e/o sua moglie, entrambi malati, hanno bisogno di aiuto. In genere, la figlia dorme a casa dell'assicurato una volta alla settimana, ma la frequenza dipende dalle necessità dell'anziano coniuge e della di lui moglie. Ciò che conta, per il calcolo delle prestazioni complementari del ricorrente, è che __________ vive dalla madre, dove ha una stanza in cui tiene i suoi effetti personali, mentre dal padre si reca espressamente per pranzare e per ritirare la corrispondenza; a volte capita poi che si fermi anche a dormire, ma non è la regola. (…)” 2.12.   L’USSI, come visto sopra, nella presente fattispecie ha motivato il proprio ordine di restituzione della somma di fr. 6’963.--, indicando di aver proceduto, visto che il figlio della ricorrente, nel lasso di tempo giugno 2007 - dicembre 2008, risultava domiciliato presso la madre, a dividere per due l’importo della pigione effettiva di fr. 1'496.-- e a, quindi, computare nel calcolo della prestazione assistenziale unicamente l’ammontare di fr. 748.-- (fr. 1496.-- : 2), invece di fr. 1'100.--, corrispondenti all’importo massimo per una persona sola riconoscibile a titolo di pigione, che era stato conteggiato nelle decisioni dell’assistenza sociale afferenti al periodo giugno 2007 – dicembre 2008 (cfr. doc. B; A; 169; 154; 145; 136; 129; 118; 110). L’amministrazione è così giunta alla conclusione che la ricorrente, nell’arco di tempo in questione, aveva percepito a torto la somma mensile di fr. 352.-- (fr. 1'100.-- - fr. 748.--; cfr. doc. B), che moltiplicata per 19 mesi (da giugno 2007 a dicembre 2008) era pari a fr. 6'963.-- (cfr. doc. B). Tuttavia già tale calcolo non risulta corretto. In effetti, moltiplicando l’importo di fr. 352.-- per 19 mesi, non si ottiene il risultato di fr. 6'963.--, bensì di fr. 6'688.--. 2.13.   Questa Corte sottolinea, inoltre, che sia l’art. 9 cpv. 2 Laps che l’art. 16c OPC-AVS/AI, applicabile in casu per analogia - prevedendo il medesimo principio della suddivisione della pigione -, contemplano, quale condizione per procedere alla ripartizione della pigione, la coabitazione effettiva di una persona che non rientra nel calcolo della prestazione in questione con il titolare del diritto. L’art. 9 cpv. 2 Laps utilizza il termine di convivenza , mentre l’art. 16c OPC-AVS/AI fa riferimento all’ occupazione di un appartamento o casa anche da parte di persone escluse dal calcolo della PC. La giurisprudenza sviluppata in merito a quest’ultimo disposto menziona, peraltro, i termini di occupazione comune, convivenza, vita in comune, coabitazione (cfr. consid. 2.11.). Per effettuare la ripartizione della pigione è, perciò, necessario che la persona non compresa nel calcolo della prestazione richiesta dal titolare del diritto abiti effettivamente in comunione domestica con quest’ultima. Non è sufficiente che la persona esclusa dal calcolo risulti domiciliata presso tale abitazione. In effetti il luogo dove sono depositati i documenti di identità o dove vengono pagate le imposte è unicamente un indizio del domicilio, ma non è costitutivo dello stesso. Si tratta, infatti, di una presunzione che può in ogni caso essere sovvertita da una contro prova (cfr. DTF 125 III 100; DTF 102 IV 162; consid. 2.3.). Inoltre in una sentenza P5/05 del 6 gennaio 2006 l’Alta Corte ha osservato che: " 2.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 2.14.   In concreto __________, che peraltro dalle carte processuali risulta avere un’economia domestica propria indipendente da quella della madre di 2 ½ locali perlomeno dal 2003 (cfr. consid. 2.9.), nel luglio 2007 si è trasferito dal Cantone Ticino nel Canton __________ a seguito di un cambiamento del luogo di lavoro (cfr. consid. 2.9.). A __________ entro la fine di luglio 2007 ha, del resto, concluso un contratto di locazione (cfr. consid. 2.9.). Per il periodo precedente egli ha dichiarato di aver vissuto presso una persona a __________ (cfr. doc. L). E’ vero che dal sistema informatico relativo alla banca dati MOVPOP che gestisce l’anagrafe della popolazione del Cantone Ticino si evince che __________ è stato domiciliato a __________ dal gennaio 2000 al dicembre 2008, momento in cui risulta il trasferimento a __________. E’ altrettanto vero, però, che la ricorrente ha asserito che il figlio, da quando si è trasferito a __________, rientrava in Ticino soltanto una volta ogni due settimana. (cfr. doc. D) Il TCA, ritenuto, in particolare, che il figlio dell’insorgente presso il ristorante __________ lavorava per 42 ore alla settimana (cfr. doc. I) e che la distanza tra __________ e __________ è piuttosto rilevante, non ha motivo di dubitare di tale affermazione. In simili condizioni questa Corte, in applicazione dell’usuale principio della probabilità preponderante valido nel settore delle assicurazioni sociali ( cfr. STF 8C_999/2010 del 15 marzo 2011; STF 8C_911/2010 del 10 marzo 2011 consid. 3.2; STF 8C_909/2010 del 1° marzo 2011; DTF 129 V 177 consid. 3 pag. 181; RDAT II-2001 N. 91 pag. 378; DTF 126 V 353 consid. 5b pag. 360; DTF 125 V 193 consid. 2 pag. 195), deve concludere che __________, nel periodo in questione, non abitava nella stessa economia domestica della ricorrente. Egli risiedeva abitualmente a __________ e faceva visita alla madre in Ticino unicamente due fine settimana al mese. A quest’ultimo proposito va osservato che essi hanno, del resto, un legame particolarmente profondo, anche perché la loro famiglia è costituita soltanto da loro due, visto che il marito della ricorrente e padre di __________ il 8 ottobre 2008 con decreto della Pretura di __________ è stato dichiarato scomparso con effetto dal 22 febbraio 1997 (cfr. doc. I; P; 526). Il fatto che avesse mantenuto il domicilio a __________, e meglio presso la madre al momento della disdetta del suo contratto di locazione relativo all’appartamento in Via __________, affinché la corrispondenza gli venisse inviata presso la madre per motivi di semplicità e stabilità, visto il recente trasferimento a __________, è irrilevante per l’esito della vertenza. In effetti, come esposto sopra (cfr. consid. 2.13.), determinante al fine della suddivisione della pigione è la convivenza effettiva con il beneficiario di una prestazione assistenziale e non dove sono depositati i suoi documenti. Nel caso di specie non si è confrontati con una coabitazione effettiva. Alla fine del 2008 il figlio della ricorrente ha poi comunque trasferito anche il domicilio a __________ e in ogni caso risulta ancora attualmente domiciliato fuori Cantone (cfr. Banca dati MOV POP). In concreto non si giustifica, pertanto, la ripartizione del canone locativo effettivo a cui deve far fronte la ricorrente tra lei e il figlio. La divisione per due della pigione non si giustifica nemmeno ponendo mente al fatto che una delle eccezioni alla regola generale della ripartizione della pigione secondo il numero delle persone che abitano nella stessa economia domestica e, quindi, del computo soltanto delle parti di pigione relative alle persone comprese nel calcolo della prestazione si applica qualora uno degli inquilini occupi da solo gran parte dell’abitazione (cfr. consid. 2.11.). In casu, vista la presenza del figlio della ricorrente nell’appartamento della madre per due fine settimana al mese, e dunque piuttosto sporadica, va comunque ritenuto che l’abitazione dell’insorgente è occupata in gran parte unicamente da quest’ultima. 2.15.   Alla luce di tutto quanto esposto, occorre concludere che le decisioni emesse dall’USSI negli anni 2007 e 2008 concernenti le prestazioni assistenziali erogate all’insorgente nel periodo giugno 2007 – dicembre 2008 (cfr. doc. B; A; 169; 154; 145; 136; 129; 118; 110), in cui a titolo di pigione, ritenuto che il canone locativo effettivo ammonta a fr. 1'496.-- al mese, è stato conteggiato l’importo di fr. 1'100.-- - corrispondente all’importo massimo riconoscibile per una persona sola (cfr. consid. 2.5.), (cfr. consid. 2.9.) -, risultano corrette. Di conseguenza la ricorrente, dal mese di giugno 2007 al mese di dicembre 2008, non ha percepito indebitamente alcun importo delle prestazioni assistenziali erogatele. A torto, quindi, l’USSI ha rivisto le decisioni con le quali all’insorgente erano state accordate delle prestazioni assistenziali per il lasso di tempo giugno 2007 – dicembre 2008 e le ha chiesto la restituzione della somma di fr. 6'963.--. 2.16.   La ricorrente, vincente in causa, rappresentata da un avvocato, ha diritto all’importo di fr. 1’500.-- a titolo di ripetibili (cfr. art. 30 Lptca)</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2007 in BU 3/2007 del 23 gennaio 2007 pag. 27-28) Gli importi appena menzionati sono stati mantenuti anche per l’anno 2008 (cfr. Direttive riguardanti gli importi delle prestazioni assistenziali per il 2008; BU 3/2008 del 25 gennaio 2008, pag. 30, 31).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2.7.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2.8.   Secondo la giurisprudenza in vigore in materia di restituzione in ambito LAVS, applicabile alla LPC e quindi, secondo il tenore del Messaggio del 1° luglio 1998 menzionato sopra (cfr. consid. 2.7.),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2.7.). 2.9.   Nella presente evenienza dalla documentazione agli atti emerge che la ricorrente, dal settembre 2002, abita in Via __________ in un appartamento di 2 ½ locali in virtù di un contratto di locazione concluso nell’agosto 2002. La pigione ammonta a fr. 1'346.-- mensili e le spese accessorie a fr. 150.-- al mese (cfr. doc. 369), per un importo complessivo mensile di fr. 1'496.--. L’insorgente ha un figlio, __________, nato nel 1981 dal suo matrimonio con __________, la cui scomparsa è stata pronunciata con decreto del 9 ottobre 2008 dalla Pretura di __________ (cfr. doc. 526; P). __________, nel luglio 2003, ha concluso un contratto di locazione con effetto dal 1° agosto 2003 relativo a un appartamento di 1 ½ locali in __________. Il canone di locazione, comprensivo delle spese accessorie, era pari a fr. 680.-- al mese (cfr. doc. E). Tale contratto è stato disdetto nell’aprile 2007 per la fine del mese di luglio 2007 (cfr. doc. F). In effetti il figlio dell’insorgente, alle dipendenze della __________ dall’agosto 2005, dapprima, in qualità di Management Trainee in __________ (cfr. doc. G; H), a partire dal 1° luglio 2007 è stato trasferito nel ristorante di __________ (Canton __________; cfr. doc. I). Nel luglio 2007 egli ha, poi, stipulato un contratto di locazione concernente un appartamento di un locale a __________ la cui pigione ammontava a fr. 650.-- mensili, come risulta sia dalla domanda di locazione del 24 luglio 2007, che dalla notifica della pigione in caso di conclusione di una nuova locazione del 31 luglio 2007 (cfr. doc. L; M; N). A seguito di una comunicazione del Municipio di __________ del maggio 2009 e dopo aver eseguito degli accertamenti in merito al domicilio di __________, l’USSI ha ricalcolato l’importo della prestazione assistenziale mensile spettante alla ricorrente nel periodo giugno 2007 – dicembre 2008. L’amministrazione, avendo __________ mantenuto per quel lasso di tempo il domicilio in Ticino, e più precisamente presso la madre, ha proceduto a dividere per due il canone locativo effettivo dovuto dall’insorgente di fr. 1'496.-- e ha computato unicamente l’importo di fr. 748.-- (fr. 1496.-- : 2), invece di fr. 1'100.--, corrispondente all’importo massimo per una persona sola riconoscibile a titolo di pigione, che era stato conteggiato nelle decisioni con cui l’USSI aveva riconosciuto alla ricorrente delle prestazioni assistenziali per il periodo giugno 2007 – dicembre 2008 (cfr. doc. B; A; 169; 154; 145; 136; 129; 118; 110). L’USSI, rilevando che l’insorgente aveva percepito a torto nell’arco di tempo giugno 2007 – dicembre 2008 la somma mensile di fr. 352.-- (fr. 1'100.-- - fr. 748.--; cfr. doc. B), il 27 maggio 2009 ha, di conseguenza, emesso nei confronti della stessa un ordine di restituzione della somma di fr. 6'963.-- (cfr. doc. B). La decisione del 27 maggio 2009 è stata confermata con decisione su reclamo del 15 giugno 2011 (cfr. doc. A). L’insorgente contesta quanto deciso dall’amministrazione, facendo valere, in buona sostanza, che, indipendentemente dal domicilio, la decurtazione della spesa dell’alloggio riconosciuta può avvenire solo nel caso in cui il beneficiario conviva con una persona estranea all’unità di riferimento. A mente della ricorrente, dunque, visto che il figlio __________ non abita più nell’appartamento materno dal 2003 e, in particolare, nel periodo in questione viveva a __________, dove era stato trasferito dal datore di lavoro, non si giustifica alcuna ripartizione della pigione (cfr. doc. I). 2.10.   Chiamata a pronunciarsi in merito al caso di specie, questa Corte evidenzia, dapprima, che a giusta ragione il figlio della ricorrente - nato nel 1981 - non è stato considerato nell’unità di riferimento della madre. In effetti ai sensi dell’art. 4 cpv. 1 lett. e Laps, al quale rinvia l’art. 21 Las, l’unità di riferimento è costituita dal titolare del diritto e, tra l’altro, dai figli maggiorenni, se questi però non sono economicamente indipendenti L’art. 2 cpv. 1 Reg.Laps enuncia che una persona maggiorenne non è economicamente indipendente se, cumulativamente: a) ha meno di 30 anni; b) non è sposata, legalmente divorziata, separata o vedova, non è o non è stata vincolata da un’unione domestica registrata; c) non ha figli; d) è in prima formazione. __________, nel periodo giugno 2007 – dicembre 2008 era maggiorenne ed economicamente indipendente (cfr. doc. G; H; I). Egli, pertanto, non rientrava nell’unità di riferimento della madre. 2.11.   Il TCA ritiene, poi, utile ribadire che giusta l’art. 22 lett. c Las per il calcolo della spesa per l’alloggio, ai fini della determinazione della prestazione assistenziale, viene considerato l’affitto maggiorato delle spese accessorie effettive fino al massimale previsto dall’art. 9 Laps (cfr. consid. 2.5.). L’art. 9 cpv. 1 Laps prevede, segnatamente, che per le unità di riferimento composte di una persona la spesa per l’alloggio è computata fino ad un massimo corrispondente all’importo riconosciuto dalla legislazione sulle prestazioni complementari all'AVS/AI per la persona sola, a pari a fr. 13'200.-- annui, ossia fr. 1'100.-- mensili (cfr. consid. 2.5.). Secondo l’art. 9 cpv. 2 Laps se una persona che non fa parte dell’unità di riferimento convive con uno dei suoi membri, dalla spesa per l’alloggio viene dedotta la quota-parte imputabile al convivente. Le disposizioni COSAS del 2005, aggiornate nel dicembre 2007, al punto B.3 enunciano che: " Nel caso di persone conviventi non tutte beneficiarie del sostegno sociale (v. capitolo F.5.1), si divide la quota mensile della pigione per il numero di persone che compongono l’economia domestica, conformemente al capitolo F.5.1. Si aggiunge poi l’importo ottenuto al budget.” Il principio della suddivisione della pigione per il numero di persone che compongono l’economia domestica è stato ripreso dal settore delle prestazioni complementari. L’art. 16c OPC-AVS/AI, entrato in vigore il 1° gennaio 1998, prevede, infatti, che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 ' ammontare della pigione è ripartito in parti uguali (cpv. 2). L ' art. 16c OPC-AVS/AI ha in pratica codificato quanto stabilito in precedenza dalla giurisprudenza federale. In una sentenza del 3 gennaio 2001 pubblicata in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(cfr. RCC 1977 pag. 567, RCC 1974 pag. 512 consid. 2; STCA dell'11 novembre 1991 nella causa A.T., STCA del 21 febbraio 1992 nella causa A.T.), anche nel caso in cui il contratto di locazione è intestato ad una sola persona (cfr. ZAK 1974 pag. 556). Lo stesso vale per i figli a beneficio di una prestazione complementare che vivono con i genitori (cfr. ZAK 1977 pag. 245). Secondo l'Alta Corte, infatti, ai fini della ripartizione del canone locativo è determinante l'occupazione comune dei locali e non tanto la questione di sapere chi ha versato la pigione o ha sottoscritto il contratto (cfr. DTF 105 V 272 consid. 1). Questa giurisprudenza è stata ribadita dal TFA in una sentenza non pubblicata del 30 marzo 2001 (P 2/01).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105 V 272). In quest'ultimo caso l'allora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 2; Carigiet/Koch, Ergänzungsleistungen zur AHV/IV, Supplemento, Zurigo 2000, pag. 86; Rumo-Jungo, Bundesgesetz über Ergänzungsleistungen zur Alters-, Hinterlassen- und Invalidenversicherung in: E.Murer und H-U.Stauffer, Rechtsprechung des Bundesgerichts zum Socialversicherungsrecht, Zurigo 1994, pag. 80). Nella sentenza P 76/01 del 9 gennaio 2003, in un caso ticinese, l'allora Tribunale federale delle assicurazioni ha stabilito quanto segue: " (…) 1.2 (…) La disposizione è stata dichiarata conforme alla legge nella sentenza pubblicata in DTF 127 V 10, in quanto impedisce il finanziamento indiretto di persone che non fanno parte del calcolo della prestazione complementare.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