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42.2008.9 vom 21. April 2008</w:t>
      </w:r>
    </w:p>
    <w:p>
      <w:r>
        <w:t>TI Tribunale d'appello, 2008-04-21, IT</w:t>
      </w:r>
    </w:p>
    <w:p>
      <w:r>
        <w:rPr>
          <w:b/>
        </w:rPr>
        <w:t xml:space="preserve">Quelle: </w:t>
      </w:r>
      <w:r>
        <w:t>https://mcp.opencaselaw.ch/entscheid/ti_gerichte_42.2008.9_d20080421</w:t>
      </w:r>
    </w:p>
    <w:p>
      <w:r>
        <w:t>FR: TI_GERICHTE 42.2008.9 du 21 avril 2008</w:t>
      </w:r>
    </w:p>
    <w:p>
      <w:r>
        <w:t>IT: TI_GERICHTE 42.2008.9 del 21 aprile 2008</w:t>
      </w:r>
    </w:p>
    <w:p>
      <w:pPr>
        <w:pStyle w:val="Heading2"/>
      </w:pPr>
      <w:r>
        <w:t>Regeste</w:t>
      </w:r>
    </w:p>
    <w:p>
      <w:r>
        <w:t>Richiesta di prestazioni sociali da parte di un assicurato che convive con una persona con la quale ha stipulato un accordo che regola i rapporti interni tra le parti. Conferma della giurisprudenza relativa ai concubini circa il cumulo dei redditi e della sostanza di entrambi gli assicurati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e 2 cpv. 1 LPTCA applicabile in virtù dell’art. 32 Lptca in vigore dal 1° ottobre 2008.</w:t>
      </w:r>
    </w:p>
    <w:p>
      <w:r>
        <w:rPr>
          <w:b/>
        </w:rPr>
        <w:t>E. 1.2</w:t>
      </w:r>
    </w:p>
    <w:p>
      <w:r>
        <w:t>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l’insorgente, in sede di ricorso, ha ancora potuto far valere le sue ragioni innanzi un’autorità giudiziaria che gode del pieno potere cognitivo, come l’istanza precedente. Per cui, l’eventuale violazione del diritto di essere sentito è stata comunque sanata in questa sede, dove l’insorgente ha nuovamente ribadito le sue motivazioni (cfr. STCA del 13 dicembre 2005, inc. 36.2005.169). nel merito 4.   Oggetto della lite è la questione di sapere se correttamente o meno l’Ufficio del sostegno sociale e dell’inserimento ha negato all’insorgente il diritto alle prestazioni assistenziali. 5.   L’intervento della pubblica assistenza è regolato nel Cantone T icino dalla Legge sull’assistenza sociale dell’8 marzo 1971 (Las).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6.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5 gennaio 2007, sentito il parere dell’USSI e della Divisione dell’azione sociale e delle famiglie, ha deciso, considerato, da un lato, che la COSAS ha adottato il 3 dicembre 2004 una nuova versione delle «direttive per il calcolo del sostegno sociale» (al riguardo, cfr. "Inciter et intégrer: le système des nouvelles normes de la CSIAS" in Repère social n° 72 dicembre 2005 - gennaio 2006 pag. 2 seg.) che la Conferenza dei direttori cantonali delle opere sociali invita ad applicare, dall’altro, che "il coordinamento con le altre prestazioni sociali, l’organizzazione del sostegno sociale in Ticino, come pure ragioni attinenti alla politica di bilancio del Cantone rendono problematico un adeguamento integrale alle nuove direttive della COSAS - peraltro non richiesto dall’art. 19 della Las" -, che a far tempo dal 1° gennaio 2007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w:t>
      </w:r>
    </w:p>
    <w:p>
      <w:r>
        <w:rPr>
          <w:b/>
        </w:rPr>
        <w:t>E. 2</w:t>
      </w:r>
    </w:p>
    <w:p>
      <w:r>
        <w:t>Con il ricorso l’insorgente sembra contestare anche la decisione su reclamo emessa l’11 luglio 2008, tramite la quale l’UAM ha respinto la richiesta volta ad ottenere il sussidio per il pagamento del premio della Cassa malati 2008 ed oggetto di un altro incarto pendente presso questo Tribunale che sarà deciso con una sentenza separata (inc. 36.2008.107).</w:t>
      </w:r>
    </w:p>
    <w:p>
      <w:r>
        <w:rPr>
          <w:b/>
        </w:rPr>
        <w:t>E. 3</w:t>
      </w:r>
    </w:p>
    <w:p>
      <w:r>
        <w:t>L’insorgente, nella versione tedesca del ricorso, ha affermato di aver chiesto, invano, un incontro con le autorità per poter discutere della fattispecie. Egli fa valere una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4</w:t>
      </w:r>
    </w:p>
    <w:p>
      <w:r>
        <w:t>persone 2054.-- 100.-- 2154.--</w:t>
      </w:r>
    </w:p>
    <w:p>
      <w:r>
        <w:rPr>
          <w:b/>
        </w:rPr>
        <w:t>E. 5</w:t>
      </w:r>
    </w:p>
    <w:p>
      <w:r>
        <w:t>persone 2323.-- 100.-- 2423.--</w:t>
      </w:r>
    </w:p>
    <w:p>
      <w:r>
        <w:rPr>
          <w:b/>
        </w:rPr>
        <w:t>E. 5.5</w:t>
      </w:r>
    </w:p>
    <w:p>
      <w:r>
        <w:t>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 10 juillet 2006, 2P.230/2005 consid. 3.3, arrêt du 12 janvier 2004, 2P.218/2003 consid. 3.2, arrêt du 24 août 1998, 2P.386/1997; Thomas Gächter/ Myriam Schwendener, Nichteheliche Lebensgemeinschaften im Sozialversicherungsrecht, Ein Beitrag zum Verhältnis von Familien-und Sozialversicherungsrecht, in : FamPra.ch 2005, p. 857 s.; Felix Wolffers, Grundriss des Sozialhilferechts, 2ème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In concreto, dunque, contrariamente a quanto preteso dall'insorgente, a prescindere dall'accordo concluso tra i conviventi che regola unicamente i rapporti interni tra le parti, la  sua unità di riferimento è costituita da lui stesso e dalla convivente di lunga data. Ancora il 22 febbraio 2008 __________, in una “ Schuldbestätigung ”, successiva alla firma del predetto accordo, ha infatti precisato che il ricorrente “ seit dem 1.7.06 bei mir Kost und Logie bezieht und ich zusätzlich für seine laufenden Rechnungen; Tel. Gebühren, Krankenkasse, Kleider, Arznei, Zahnart, Brille, Steuern und Transporte aufkomme . Einen Teil vergütet Herr RI 1 durch Arbeiten in meinem Auftrag, z.B. Wäsche Haushalt. Den Rest habe ich als Schuldbelastung für die Jahre (…) notiert .“ (doc. 17). L’insorgente non può pertanto sfuggire al cumulo dei redditi, previsto dalla legge cantonale, tramite un accordo privato. Sarebbe altrimenti possibile, con la stipulazione di convenzioni tra conviventi, eludere facilmente gli art. 4 Laps e 2a Reg. Laps. La Laps, in effetti, a differenza delle assicurazioni sociali federali, par ifica la convivenza tra due persone (non è necessario che si tratti di un’unione registrata, che del resto è possibile unicamente tra persone dello stesso sesso - cfr. art. 1 e 2 Legge sull’unione domestica registrata, LUD, in vigore dal 1° gennaio 2007) al matrimonio (art. 4 Laps; riguardo agli assegni di famiglia cfr. RDAT II-2001 N. 22 pag. 89 segg.; STCA del 26 gennaio 2001 nella causa B.P.; STCA del 24 luglio 2000 nella causa A.I.; STCA del 15 aprile 1996 nella causa M.M.). Ai fini della determinazione del diritto o meno del ricorrente a una prestazione assistenziale vanno conseguentemente considerati i redditi e le spese suoi e della convivente. Come emerge dal calcolo delle prestazioni assistenziali (doc. 2), ritenuto in particolare che la convivente beneficia di un importo annuo di fr. 120'000 di alimenti, oltre a fr. 16'438 di reddito da titoli e capitali e fr. 20'385 di valore locativo e affitti (cfr. tassazione 2006) e possiede una sostanza computabile di fr. 1’871’881, l’interessato non ha diritto all’aiuto statale richiesto, non presentando nessuna lacuna di reddito, siccome il reddito disponibile residuale risulta più elevato della soglia di intervento (fr. 162'823 al mese a disposizione; cfr. la tabella di calcolo, doc. 2). Per cui, la decisione dell’USSI, di non concedere prestazioni all’insorgente, si rivela corretta. A questo proposito, il fatto che l’insorgente ha affermato di prendere in considerazione un trasloco così da poter comporre due unità di riferimento distinte, nel caso di specie non è determinante nella misura in cui questo tribunale deve limitare l'esame del caso alla situazione effettiva che si presenta all'epoca in cui è stata resa la decisione impugnata . I fatti accaduti posteriormente e che hanno modificato questa situazione devono di regola formare oggetto di un nuovo provvedimento (fra le tante cfr. DTF 121 V 366 consid. 1b, 116 V 248 consid. 1a, 112 V 93 consid. 3, 99 V 102).</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2007 in BU 3/2007 del 23 gennaio 2007 pag. 27-28) Per inciso è utile segnalare che gli importi appena menzionati sono stati mantenuti anche per l’anno 2008 (cfr. Direttive riguardanti gli importo delle prestazioni assistenziali per il 2008; BU 3/2008 del 25 gennaio 2008, pag. 30, 31). 7.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8.   Nella presente evenienza, come già visto (cfr. consid. A), l’USSI, con decisione del 22 aprile 2008, confermata con decisione su reclamo del 17 luglio 2008, ha negato all’insorgente una prestazione assistenziale, poiché il reddito disponibile residuale della sua unità di riferimento è più elevato del limite annuo fissato dal DSS (cfr. Doc. A). L’interessato con il suo ricorso contesta in sostanza la presa in considerazione dei redditi conseguiti dalla sua convivente, la quale si sarebbe limitata a pagare unicamente alcune spese (affitto, alimentari, viaggi, vestiti), mentre avrebbe lasciato a carico del ricorrente le spese relative all’AVS, all’assicurazione malattie, le fatture del medico, del dentista e della farmacia. Egli ritiene che non si dovrebbe prendere in considerazione la tassazione della sua convivente. In concreto è ammesso espressamente dal ricorrente che __________ è sua convivente. Il concubinato risale al 2 giugno 2001. I conviventi hanno sottoscritto lo scorso 9 marzo 2005 un accordo che prevede quanto segue: " I. Feststellungen (Präembel) 1. Wir sind seit 2. Juni 2001 im Konkubinat in der Liegenschaft __________, __________, welche __________ gehört, zusammen und beabsichtigen, dies auch weiterhin zu tun. 2. RI 1 ist berufstätig; __________ ist nicht berufstätug. 3. Es ist unser Wunsch und Wille, dass jedes von uns für seine eigenen Lebenshaltungskosten aufkommen wird (Verursacherprinzip). II. Vereinbarungen 1. Die Lebenshaltungskosten für uns beide werden grundsätzlich von beiden Partnern gemeinsam getragen. Zu den Lebenshaltungskosten zählen insbesondere Miete (Hypothekarzins), Kosten der Haushaltsführung (Nahrung, Waschmittel etc.) Telefon, Radio, TV, Elektrizität, Zeitungen, Versicherungen (ohne Krankenkasse), Auto. Wir vereinbaren, dass RI 1 an diese Kosten monatlich pauschal Fr. 2'000.—bezahlt. 2. Die Kosten für persönliche Bedürfnisse (Hobbies, Kleider, Bücher, Coiffeur etc.) trägt jede Partei selbst, ebenso die für sie anfallende Bundes-, Staats und Gemeinde-Steuern. 3. Diejenigen Vermögenswerte und Gegenstände, die auf den Namen einer Partei lauten oder für die sie einen Beleg des Eigentums vorlegt, sind deren Alleineigentum. Später angeschaffte Gegenstände sind Miteigentum zur Hälfte, ausser es sind Belege vorhanden, dass sie Alleinigentum des einen oder andern sind. Wir legen heute schon fest, dass Mobiliar und Hausrat grundsätzlich im Hause bleiben sollen, auch wenn das Haus später einmal nur noch vom einen oder andern von uns bewohnt werden sollte. 4. Aendern sich die Verhältnisse, von denen die Patienten bei der Errichtung dieser Vereinbarung ausgegangen sind, wesentlich und dauernd, hat jede Partei das Recht, eine Anpassung zu verlangen. Wird die Erfüllung der Vereinbarung für eine Partei unmöglich oder ist sie einer Partei nicht mehr zuzumuten, ist sie aufzulösen. 5. Bei Auflösung dieser Vereinbarung nimmt jeder Partner sein Eigentum zurück (ohne Mobiliar). Das im Hause von __________ befindliche Mobiliar bleibt ihr Eigentum, sofern RI 1 nicht sein Eigentum beweist. Verträge unter Lebenden sind fällig und zu erfüllen. Während der Dauer dieser Vereinbarung gemachte Schenkungen verbleiben beim Beschenkten. 6. Für den Fall, dass __________ ihre Liegenschaft aus irgendwelchen Gründen (Invalidität, Pflegeheim etc.) dauernd nicht mehr bewohnen kann, hat RI 1 während drei Jahren ein unentgeltliches Wohnrecht im Haus von __________ (im Sinne einer zinsfreien befristeten Miete). Die laufenden Kosten für den Betrieb des Hauses (Elektrizität, Wasser, Heizung, Kehrichtabfuhr etc.) jedoch ohne Liegenschaftsunterhalt und allfällige Hypothekarzinsen hat er zu bezahlen. Er hat während diesen drei Jahren das Vorkaufsrecht an der Liegenschaft zum Preis und den Bedingungen eines Dritten.“ (doc. 6, sottolineatura del redattore) 9.   Chiamato ad esaminare l'operato dell'USSI, il TCA rileva innanzitutto che l’art. 21 Las, che si riferisce all’unità di riferimento, prevede che: "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Secondo l'art. 4 Laps: " L’unità di riferimento è costituita: a) dal titolare del diritto; b) dal coniuge; c) dal partner convivente, se la convivenza è considerata stabile; d) dai figli minorenni di cui essi hanno l’autorità parentale; e) dai figli maggiorenni, se questi non sono economicamente indipendenti.” (la sottolineatura è del redattore) Giusta l’art. 2a Reg.Laps: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Fino al 1° ottobre 2006 il tenore dell’art. 4 cpv. 1 lett. c Laps prevedeva unicamente che “l’unità di riferimento è costituita dal partner convivente, se vi sono figli in comune”. Dal Messaggio concernente la modifica della Laps del 25 ottobre 2005 emerge che: " (…)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partners senza figli in comune: i partners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 Al riguardo cfr. pure la sentenza del 31 agosto 2006 emessa dalla Chambre administrative del Canton Jura, pubblicata in RJJ 1/07 e le Direttive COSAS, versione dicembre 2007, p.to F.5.1. A proposito dei concubini, con sentenza 8C_790/2007 del 23 luglio 2008,  destinata a pubblicazione, il Tribunale federale ha affermato: "</w:t>
      </w:r>
    </w:p>
    <w:p>
      <w:r>
        <w:rPr>
          <w:b/>
        </w:rPr>
        <w:t>E. 10</w:t>
      </w:r>
    </w:p>
    <w:p>
      <w:r>
        <w:t>Per quanto concerne la non perfetta conoscenza dell’italiano, va rammentato che con sentenza del 9 gennaio 2007 (inc. 36.2006.155), nell’ambito di una causa concernente una richiesta di sussidio per il pagamento dei premi della Cassa malati, questo Tribunale ha rammentato che: " (…) in DTF 128 V 34, a proposito della territorialità della lingua (art. 70 cpv. 2 Cost.), il TFA ha affermato: “                                                aa)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l'art . 116 al. 1 aCst .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de 1999, notamment aux art. 18 et 70 (sur ces divers points: ATF 127 V 225 consid. 3b/aa et les références citées). bb) Le principe de la territorialité des langues a pour conséquence que les parties doivent s'adresser aux autorités judiciaires cantonales dans la langue officielle du canton (ATF 108 V 208; RDAT 1993 II no 78 p. 215; MARCO BORGHI, Langues nationales et langues officielles, in: THÜRER/AUBERT/MÜLLER [éd.], Droit constitutionnel suisse, Zurich 2001, § 37 ch. 39; en ce qui concerne la procédure administrative dans le domaine de l'assurance-invalidité: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 Per cui nel caso di specie l’insorgente non può lamentarsi di non aver trovato interlocutori con i quali parlare nella sua lingua madre. Inoltre, va comunque evidenziato come le asserite difficoltà linguistiche non hanno impedito all’insorgente di inoltrare le domande di sussidio per il 2004 e per il 2005, di rispondere alle richieste dell’amministrazione in ambito di accertamento dei redditi (cfr. allegati al doc. 1), di inoltrare, a suo dire, un reclamo (cfr. doc. 2), di rivolgersi, con uno scritto in tedesco, ad un funzionario del Cantone e di impugnare la decisione litigiosa al TCA. In questo senso le difficoltà linguistiche non sono state di impedimento per la salvaguardia dei suoi diritti.” Nel caso di specie l’assicurato fa valere difficoltà di contatto con l’USSI. Egli ha tuttavia potuto dapprima inoltrare reclamo all’autorità cantonale ed in seguito ricorso al TCA, che dispone di pieno potere cognitivo. Le sue censure, seppur respinte, sono state tenute in debita considerazione da questo Tribunale. Per cui l’asserita mancata conoscenza dell’italiano non gli è stata di pregiudizio.</w:t>
      </w:r>
    </w:p>
    <w:p>
      <w:r>
        <w:rPr>
          <w:b/>
        </w:rPr>
        <w:t>E. 11</w:t>
      </w:r>
    </w:p>
    <w:p>
      <w:r>
        <w:t>Per quanto attiene, infine, l’obbligo di informare, con sentenza del 23 novembre 2006, inc. 36.2006.162, al consid. 2.11, il TCA, sempre nell’ambito dei sussidi, ha affermato: " Per quanto attiene alla censura ricorsuale secondo cui l’insorgente non sarebbe stato informato circa la possibilità in generale di chiedere il sussidio, va innanzitutto rilevato che egli non sostiene di aver ottenuto informazioni errate o di essersi rivolto ad uffici amministrativi senza ottenere risposte in merito alle sue richieste. In casu non può, dunque, essere richiamato il diritto alla protezione della buona fede di cui all’art. 9 Cost. Infatti,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(cfr. STFA del 25 ottobre 2005 nella causa K. e B., K 107/05, consid. 3.1.; DTF 127 I 36 consid. 3a, 126 II 387 consid. 3a; RAMI 2000 no. KV 126 pag. 223, no. KV 133 pag. 291 consid. 2a; cfr., riguardo al previgente art. 4 cpv. 1 vCost., la cui giurisprudenza si applica anche alla nuova norma, DTF 121 V 66 consid. 2a e sentenze ivi citate). Non essendo in presenza, in concreto, di informazioni erronee fornite dalle autorità competenti, la buona fede del ricorrente non può in nessun caso essere tutelata. Va poi rammentato che di principio il sussidio dell’assicurazione malattia viene concesso solo se l’assicurato bisognoso ne fa esplicita richiesta. Se l’interessato non inoltra l’istanza, il sussidio non viene attribuito. Solo i beneficiari di prestazioni complementari, di regola, ottengono la riduzione del premio automaticamente (cfr. art. 28 e 40 LCAMal). Non esiste invece, di regola, un obbligo, per l’UAM, di informare personalmente tutti i cittadini residenti in Ticino della possibilità di ottenere il sussidio. L’informazione avviene in forma generale con pubblicazioni sui giornali e sul Foglio Ufficiale. In particolare le modifiche legislative e i decreti esecutivi con i quali il Consiglio di Stato fissa i limiti di reddito che danno diritto all’ottenimento della riduzione del premio sono pubblicati sul Foglio Ufficiale, mentre i termini per l’inoltro della richiesta, oltre ad essere fissati nella legge, posso essere chiesti agli Uffici competenti per il rilascio di tali informazioni (in particolare l’UAM e le cancellerie comunali). Di conseguenza l’assicurato non può prevalersi dell’ignoranza della legge (per dei casi analoghi cfr. STCA del 5 ottobre 2006 nella causa C., 36.2006.157; STCA del 9 dicembre 2002 nella causa D., 36.2002.119, già menzionata al consid. 2.9.).” Analogamente, nel caso di specie, l’interessato non può neppure prevalersi di un’asserita assenza di informazioni. 12.   Alla luce di quanto sopra esposto, la decisione su reclamo merita conferma, mentre il ricorso va respinto. 13.   Con il ricorso l’insorgente dice di essere a disposizione per chiarimenti ed indica il suo numero di telefono.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(il ricorrente ha indicato di essere a disposizione per chiarimenti), questo TCA rinuncia ad un’audizione delle parti poiché superflua ai fini dell’esito della vertenza (cfr. sentenza del 21 agosto 2007, I 472/06, consid. 2). Del resto dagli atti prodotti emerge chiaramente la correttezza della decisione dell’USSI.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