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42.2008.15 vom 2. September 2008</w:t>
      </w:r>
    </w:p>
    <w:p>
      <w:r>
        <w:t>TI Tribunale d'appello, 2008-09-02, IT</w:t>
      </w:r>
    </w:p>
    <w:p>
      <w:r>
        <w:rPr>
          <w:b/>
        </w:rPr>
        <w:t xml:space="preserve">Quelle: </w:t>
      </w:r>
      <w:r>
        <w:t>https://mcp.opencaselaw.ch/entscheid/ti_gerichte_42.2008.15_d20080902</w:t>
      </w:r>
    </w:p>
    <w:p>
      <w:r>
        <w:t>FR: TI_GERICHTE 42.2008.15 du 2 septembre 2008</w:t>
      </w:r>
    </w:p>
    <w:p>
      <w:r>
        <w:t>IT: TI_GERICHTE 42.2008.15 del 2 settembre 2008</w:t>
      </w:r>
    </w:p>
    <w:p>
      <w:pPr>
        <w:pStyle w:val="Heading2"/>
      </w:pPr>
      <w:r>
        <w:t>Regeste</w:t>
      </w:r>
    </w:p>
    <w:p>
      <w:r>
        <w:t>Entità della prestazione assistenziale a favore di una madre i cui 2 figli (uno minorenne e l'altro diventato maggiorenne nel periodo in questione) sono in affidamento presso terzi da anni. Il calcolo dell'USSI che ha computato le spese dei 2 figli e il reddito di apprendista del maggiore è corretto</w:t>
      </w:r>
    </w:p>
    <w:p>
      <w:pPr>
        <w:pStyle w:val="Heading2"/>
      </w:pPr>
      <w:r>
        <w:t>Erwägungen</w:t>
      </w:r>
    </w:p>
    <w:p>
      <w:r>
        <w:rPr>
          <w:b/>
        </w:rPr>
        <w:t>E. 1</w:t>
      </w:r>
    </w:p>
    <w:p>
      <w:r>
        <w:t>persona</w:t>
      </w:r>
    </w:p>
    <w:p>
      <w:r>
        <w:t>960.</w:t>
      </w:r>
    </w:p>
    <w:p>
      <w:r>
        <w:t>100.</w:t>
      </w:r>
    </w:p>
    <w:p>
      <w:r>
        <w:t>1060.</w:t>
      </w:r>
    </w:p>
    <w:p>
      <w:r>
        <w:rPr>
          <w:b/>
        </w:rPr>
        <w:t>E. 2</w:t>
      </w:r>
    </w:p>
    <w:p>
      <w:r>
        <w:t>persone</w:t>
      </w:r>
    </w:p>
    <w:p>
      <w:r>
        <w:t>1469.</w:t>
      </w:r>
    </w:p>
    <w:p>
      <w:r>
        <w:t>100.</w:t>
      </w:r>
    </w:p>
    <w:p>
      <w:r>
        <w:t>1569.</w:t>
      </w:r>
    </w:p>
    <w:p>
      <w:r>
        <w:rPr>
          <w:b/>
        </w:rPr>
        <w:t>E. 3</w:t>
      </w:r>
    </w:p>
    <w:p>
      <w:r>
        <w:t>persone</w:t>
      </w:r>
    </w:p>
    <w:p>
      <w:r>
        <w:t>1786.</w:t>
      </w:r>
    </w:p>
    <w:p>
      <w:r>
        <w:t>100.</w:t>
      </w:r>
    </w:p>
    <w:p>
      <w:r>
        <w:t>1886.</w:t>
      </w:r>
    </w:p>
    <w:p>
      <w:r>
        <w:rPr>
          <w:b/>
        </w:rPr>
        <w:t>E. 4</w:t>
      </w:r>
    </w:p>
    <w:p>
      <w:r>
        <w:t>persone</w:t>
      </w:r>
    </w:p>
    <w:p>
      <w:r>
        <w:t>2054.</w:t>
      </w:r>
    </w:p>
    <w:p>
      <w:r>
        <w:t>100.</w:t>
      </w:r>
    </w:p>
    <w:p>
      <w:r>
        <w:t>2154.</w:t>
      </w:r>
    </w:p>
    <w:p>
      <w:r>
        <w:rPr>
          <w:b/>
        </w:rPr>
        <w:t>E. 5</w:t>
      </w:r>
    </w:p>
    <w:p>
      <w:r>
        <w:t>persone</w:t>
      </w:r>
    </w:p>
    <w:p>
      <w:r>
        <w:t>2323.</w:t>
      </w:r>
    </w:p>
    <w:p>
      <w:r>
        <w:t>100.</w:t>
      </w:r>
    </w:p>
    <w:p>
      <w:r>
        <w:t>2423.</w:t>
      </w:r>
    </w:p>
    <w:p>
      <w:r>
        <w:rPr>
          <w:b/>
        </w:rPr>
        <w:t>E. 6</w:t>
      </w:r>
    </w:p>
    <w:p>
      <w:r>
        <w:t>persone</w:t>
      </w:r>
    </w:p>
    <w:p>
      <w:r>
        <w:t>2592.</w:t>
      </w:r>
    </w:p>
    <w:p>
      <w:r>
        <w:t>100.</w:t>
      </w:r>
    </w:p>
    <w:p>
      <w:r>
        <w:t>2692.</w:t>
      </w:r>
    </w:p>
    <w:p>
      <w:r>
        <w:rPr>
          <w:b/>
        </w:rPr>
        <w:t>E. 7</w:t>
      </w:r>
    </w:p>
    <w:p>
      <w:r>
        <w:t>persone</w:t>
      </w:r>
    </w:p>
    <w:p>
      <w:r>
        <w:t>2861.</w:t>
      </w:r>
    </w:p>
    <w:p>
      <w:r>
        <w:t>100.</w:t>
      </w:r>
    </w:p>
    <w:p>
      <w:r>
        <w:t>2961.</w:t>
      </w:r>
    </w:p>
    <w:p>
      <w:r>
        <w:t>Per ogni persona supplementare</w:t>
      </w:r>
    </w:p>
    <w:p>
      <w:r>
        <w:t>+269.</w:t>
      </w:r>
    </w:p>
    <w:p>
      <w:r>
        <w:t></w:t>
      </w:r>
    </w:p>
    <w:p>
      <w:r>
        <w:t>+269.</w:t>
      </w:r>
    </w:p>
    <w:p>
      <w:r>
        <w:t>Tipo di affidamento</w:t>
      </w:r>
    </w:p>
    <w:p>
      <w:r>
        <w:t>Compenso mensile massimo raccomandato</w:t>
      </w:r>
    </w:p>
    <w:p>
      <w:r>
        <w:t>Affidamento intra-familiare (nonni)</w:t>
      </w:r>
    </w:p>
    <w:p>
      <w:r>
        <w:t>CHF   990.--</w:t>
      </w:r>
    </w:p>
    <w:p>
      <w:r>
        <w:t>Affidamento extra-familiare</w:t>
      </w:r>
    </w:p>
    <w:p>
      <w:r>
        <w:t>CHF 1800.--</w:t>
      </w:r>
    </w:p>
    <w:p>
      <w:r>
        <w:t>Affidamento professionale e S.O.S.</w:t>
      </w:r>
    </w:p>
    <w:p>
      <w:r>
        <w:t>CHF 2250.--</w:t>
      </w:r>
    </w:p>
    <w:p>
      <w:r>
        <w:t>Condizioni di reddito familiare</w:t>
      </w:r>
    </w:p>
    <w:p>
      <w:r>
        <w:t>Ammontare del contributo mensile</w:t>
      </w:r>
    </w:p>
    <w:p>
      <w:r>
        <w:t>Famiglia senza prestazioni LAPS</w:t>
      </w:r>
    </w:p>
    <w:p>
      <w:r>
        <w:t>da CHF 400.-- fino a concorrenza del compenso corrisposto alla famiglia affidataria</w:t>
      </w:r>
    </w:p>
    <w:p>
      <w:r>
        <w:t>Famiglia con prestazioni LAPS,</w:t>
      </w:r>
    </w:p>
    <w:p>
      <w:r>
        <w:t>senza prestazioni di assistenza</w:t>
      </w:r>
    </w:p>
    <w:p>
      <w:r>
        <w:t>CHF 400.--</w:t>
      </w:r>
    </w:p>
    <w:p>
      <w:r>
        <w:t>Famiglia con prestazioni LAPS</w:t>
      </w:r>
    </w:p>
    <w:p>
      <w:r>
        <w:t>di cui prestazioni di assistenza</w:t>
      </w:r>
    </w:p>
    <w:p>
      <w:r>
        <w:t>CHF 220.--</w:t>
      </w:r>
    </w:p>
    <w:p>
      <w:r>
        <w:rPr>
          <w:b/>
        </w:rPr>
        <w:t>E. 23</w:t>
      </w:r>
    </w:p>
    <w:p>
      <w:r>
        <w:t>dicembre 2003, consid. 4; STFA U 355/02 del 19 novembre 2003, consid. 3; RAMI 2001 pag. 36; DTF 125 V 413=SVR 2001 IV Nr. 27; DTF 118 V 313; DTF 110 V 51 consid. 3b, DTF 105 V 276 consid. 1, DTF 104 V 180, DTF 102 V 152). Secondo la giurisprudenza, a condizione che all'amministrazione sia stata data l'opportunità di pronunciarsi in merito, la procedura giudiziaria amministrativa può essere estesa, per ragioni di economia processuale, a una questione non propriamente oggetto della lite purché essa sia suscettibile di essere giudicata e così strettamente connessa all'oggetto iniziale della controversia che si possa ravvisare un'unità fattuale (cfr. STFA I 712/02 del 6 febbraio 2003, consid. 1.1.; DTF 122 V 36 consid. 2a con riferimenti). In casu la questione dell’importo della prestazione assistenziale per i mesi di ottobre e novembre 2008 è strettamente legata alla problematica relativa all’ammontare dell’aiuto sociale per il mese di settembre 2008, visto che contestato è, in entrambi i casi, esclusivamente il computo del reddito del figlio __________. L’USSI, prendendo posizione a quest’ultimo riguardo nella decisione su reclamo del 31 ottobre 2008, nonché nella risposta di causa, si è perciò implicitamente pronunciato anche in merito alla prestazione di ottobre e novembre 2008 (cfr. doc. III). Questo Tribunale, dunque, per motivi di economia processuale esaminerà la correttezza non solo dell’importo della prestazione assistenziale del mese di settembre 2008, ma anche di quella del lasso di tempo ottobre-novembre 2008 (cfr. STF 8C_409/2007 dell’8 settembre 2009 consid. 1). Contestualmente è, altresì, utile rilevare che se è vero che per costante giurisprudenza la decisione impugnata costituisce il presupposto ed il contenuto della contestazione sottoposta all'esame giudiziale (cfr. C 226/03 del 12 marzo 2004, parzialmente pubblicata in SJZ 100 (2004), n. 11, p. 268s DTF 122 V 36 consid. 2a, DTF 110 V 51 consid. 3b e giurisprudenza ivi citata; SVR 1997 UV 81, p. 294), è altrettanto vero che l'oggetto impugnato non viene comunque stabilito esclusivamente sulla base del contenuto effettivo di una decisione. Esso è, infatti, costituito sia dai rapporti giuridici sui quali l'amministrazione si è pronunciata nel provvedimento contestato, che da quelli su cui a torto l'amministrazione ha omesso di esprimersi nella decisione. Ciò deriva dal principio inquisitorio e dal principio dell’applicazione d’ufficio del diritto, reggenti la procedura in materia di assicurazioni sociali e di assistenza sociale (cfr. art. 61 lett. c LPGA; 16 Lptca; STFA del 23 dicembre 2003 nella causa M., C., E., F., R., U 105/03; DTF 116 V 26 consid. 3c). 2.2. L’intervento della pubblica assistenza è regolato nel Cantone T icino dalla Legge sull’assistenza sociale dell’8 marzo 1971 (Las).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2.3.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7 gennaio 2008, sentito il parere dell’USSI e della Divisione dell’azione sociale e delle famiglie, ha deciso, considerato, da un lato, che la COSAS ha adottato il 3 dicembre 2004 una nuova versione delle «direttive per il calcolo del sostegno sociale» (al riguardo, cfr. "Inciter et intégrer: le système des nouvelles normes de la CSIAS" in Repère social n° 72 dicembre 2005 - gennaio 2006 pag. 2 seg.)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gennaio 2008 la soglia di intervento corrisponde: " A.   Forfait globale e Supplemento d'integrazione Persone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 4 persone 2054.– 100.– 2154.– 5 persone 2323.– 100.– 2423.– 6 persone 2592.– 100.– 2692.– 7 persone 2861.– 100.– 2961.– Per ogni persona supplementare +269.–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2.4.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2.5.   RI 1, con il ricorso, ha contestato il calcolo con cui l’USSI ha stabilito la prestazione assistenziale spettantele per il periodo da settembre a novembre 2008. Più precisamente l’insorgente ritiene che l’amministrazione ha, a torto, ha ritenuto fra i redditi computabili la retribuzione percepita da suo figlio __________, quale apprendista cuoco, visto che quest'ultimo si trova da oltre quindici anni in affidamento familiare (cfr. doc. I). L’USSI, dal canto suo, ha indicato, da un lato, che ai sensi dell’art. 4 Laps dell’unità di riferimento del titolare del diritto fanno parte i figli minorenni. Dall’altro, che l’art. 22 Las prevede che vengono interamenti computati i redditi dei figli minorenni facenti parte dell’unità di riferimento. L’amministrazione ha, quindi, concluso che i figli __________ e __________, benché affidati a terzi, fanno parte dell’unità di riferimento della ricorrente e di conseguenza è corretto prendere in considerazione il reddito da attività dipendente di __________, deducendo peraltro le spese per oneri sociali, per doppia economia domestica e per altre spese professionali in modo forfetario, come pure spese vincolate dei figli, come il premio dell’assicurazione malattia (cfr. doc. A; IV). 2.6.   Chiamata a pronunciarsi in merito alla fattispecie, questa Corte rileva, innanzitutto, che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L’art. 4 Laps, afferente all’unità di riferimento e al quale la Las rinvia (cfr. art. 21 Las), enuncia che: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 Giusta l’art. 4b Laps: " Se entrambi i genitori sono privati dell’autorità parentale, il minorenne fa parte dell’uni t à di riferimento della madre.” L’art. 1a Reg.Laps, relativo all’autorità parentale, prevede che: " Se l’autorità parentale sui figli minorenni viene condivisa con una persona diversa da quelle menzionate all’art. 4 cpv. 1 lett. a - c della legge, il minorenne fa parte dell’unità di riferimento in cui vive il genitore con il quale condivide il domicilio.” Nel Messaggio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 " 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(Messaggio del 13 marzo 2002 pag. 9). 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 Secondo l'art. 4a cpv. 2 Laps poi: " I figli e i titolari del diritto maggiorenni economicamente dipendenti fanno parte dell’unità di riferimento del genitore con il quale condividono il domicilio; se hanno domicilio per conto proprio essi fanno parte dell’unità di riferimento del genitore da loro indicato. L'art. 2 Reg.Laps definisce così le persone economicamente dipendenti: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 Secondo l’art. 21 Las: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Quella appena citata è l’unica deroga apportata nella Las dal legislatore ticinese al regime introdotto dalla Laps in relazione alla determinazione dell’unità di riferimento. 2.7.   Ai sensi dell’art. 296 cpv. 1 CC il figlio è soggetto, finché minorenne, all’autorità parentale. Secondo l’art. 298 cpv. 1 CC prevede che se i genitori non sono uniti in matrimonio, l’autorità parentale spetta alla madre. Ex art. 300 CC i terzi cui è affidata la cura di un figlio rappresentano i genitori nell’esercizio dell’autorità parentale, per quanto ciò sia indicato per il debito adempimento del loro compito e riservate misure diverse (cpv. 1). I genitori affilianti devono essere uditi prima di ogni decisone importante (cpv. 2). Giusta l’art. 276 CC: " I genitori devono provvedere al mantenimento del figlio, incluse le spese d’educazione e formazione e delle misure a sua tutela. (cpv.1) Il mantenimento consiste nella cura e nell’educazione ovvero, se il figlio non è sotto la custodia dei genitore, in prestazioni pecuniarie. (cpv. 2) I genitori sono liberati dall’obbligo di mantenimento nella misura in cui si possa ragionevolmente pretendere che il figlio vi provveda da sè con il provento del suo lavoro o con altri mezzi. (cpv. 3)” L’art. 293 CC prevede che: " Il diritto pubblico stabilisce chi debba sopportare le spese del mantenimento in quanto eccedano i mezzi dei genitori e dei figli, riservato l’obbligo di assistenza tra i parenti. (cpv. 1) Inoltre, il diritto pubblico disciplina il pagamento di anticipazioni quando i genitori non soddisfacciano al loro obbligo di mantenimento del figlio. (cpv. 2)” L’art. 294 cpv. 1 CC enuncia che i genitori affilianti hanno diritto a un congruo compenso per le cure prestate, salvo deroghe convenute o risultanti con chiarezza dalle circostanze. Al riguardo secondo l’art. 24 della Legge sul sostegno alle attività delle famiglie e di protezione dei minorenni (Legge per le famiglie) del 15 settembre 2003 la famiglia affidataria di cui all’art. 21 ha diritto a un contributo ai sensi dell’art. 294 CCS, corrisposto dallo Stato, che può esercitare eventuali regressi. Per quanto attiene alle spese per il mantenimento del minorenne affidato, l’art. 67 cpv. 1 Reg.Legge per le famiglie prevede che il Dipartimento emana raccomandazioni relative al compenso di cui all’art. 294 CC. Giusta il cpv. 2 di tale disposto l’anticipo di cui all’art. 24 della legge corrisponde agli importi di cui al cpv. 1 ed è versato dall’USSI, indipendentemente dal fatto che il collocamento sia stato deciso dal rappresentate legale del minorenne o da un’autorità tutoria o giudiziaria. Ex art. 70 Reg.Legge per le famiglie l’ammontare del contributo proposto ai genitori è calcolato facendo riferimento ai parametri utilizzati nell’ambito della Legge sull’assistenza sociale (cpv. 1).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(cpv. 2). Le Raccomandazioni relative al compenso dei genitori affilianti ai sensi dell’art. 294 CC del 6 novembre 2006, in vigore dal 1° gennaio 2007, enunciano che: " Il Dipartimento della sanità e della socialità, richiamati - gli art. 294 e 276 CCS; - l’art. 3 cpv. 2 lett. b) dell’Ordinanza sull’accoglimento di minori a scopo di affiliazione e di adozione del 19 ottobre 1977 (OAMin); - l’art. 24 della Legge sul sostegno alle attività delle famiglie e di protezione dei minorenni del 15 settembre 2003 (Legge per le famiglie); - gli art. 1 cpv. 2 lett. d), 5, 62, 67 e 70 del Regolamento della Legge per le famiglie del 15 settembre 2003 (del 20 dicembre 2005), stabilisce quanto segue: 1. Per le cure prestate, salvo deroghe convenute o risultanti con chiarezza dalle circostanze, i genitori affilianti (famiglia affidataria) hanno diritto al seguente compenso: Tipo di affidamento Compenso mensile massimo raccomandato Affidamento intra-familiare (nonni) CHF   990.-- Affidamento extra-familiare CHF 1800.-- Affidamento professionale e S.O.S. CHF 2250.-- 2. L’ammontare del contributo al compenso corrisposto dai genitori del minorenne è stabilito in: Condizioni di reddito familiare Ammontare del contributo mensile Famiglia senza prestazioni LAPS da CHF 400.-- fino a concorrenza del compenso corrisposto alla famiglia affidataria Famiglia con prestazioni LAPS, senza prestazioni di assistenza CHF 400.-- Famiglia con prestazioni LAPS di cui prestazioni di assistenza CHF 220.-- 3. A partire dal 15° giorno consecutivo di rientro presso la propria famiglia, tutti gli importi mensili indicati vengono ridotti del 50%. (…)” 2.8.   Per costante giurisprudenza federale, la legge va interpretata in primo luogo sulla base del suo testo letterale (cfr. STF 8C_226/2007 del 16 maggio 2008 consid. 6.1.;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STF 8C_226/2007 del 16 maggio 2008 consid. 6.1.; DTF 128 V 207; DTF 127 V 194;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DTF 128 V 207; DTF 127 V 194;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2.9.   Nel caso in esame i figli della ricorrente sono collocati da molti anni presso due famiglie affidatarie distinte, __________ in __________ e __________ in __________cfr. doc. I). In casu si pone, dunque, la questione di sapere se i due figli fanno parte dell’unità di riferimento della madre, come sostenuto dall’USSI, oppure no. In proposito occorre evidenziare che __________ è nato il 20 dicembre 2001, per cui nel periodo esaminato (settembre-novembre 2008) era minorenne. __________, per contro, essendo nato il 27 ottobre 1990, è diventato maggiorenne il 27 ottobre 2008. Per quanto concerne i figli minorenni, come visto sopra, l’art. 4 lett. d Laps prevede che l’unità di riferimento è costituita dai figli minorenni di cui il titolare del diritto ha l’autorità parentale. Inoltre ex art. 1a Reg.Laps se l’autorità parentale sui figli minorenni viene condivisa con una persona diversa da quelle menzionate all’art. 4 cpv. 1 lett. a - c della legge (coniuge, partner convivente), il minorenne fa parte dell’unità di riferimento in cui vive il genitore con il quale condivide il domicilio. Dal tenore letterale delle due disposizioni citate discende che, soltanto nel caso in cui l’autorità parentale sia condivisa con una persona diversa dal coniuge o dal partner convivente, assume rilevanza dove il minorenne vive. In caso contrario, ossia qualora l’autorità parentale sul figlio minorenne non sia condivisa, per definire a quale unità di riferimento quest’ultimo appartenga occorre semplicemente stabilire chi è il genitore che ha l’autorità parentale. Del resto come sottolineato sopra, nel Messaggio del 13 marzo 2002 relativo alla modifica della legge sull’armonizzazione e il coordinamento delle prestazioni sociali si è proprio sostituito il concetto di custodia con quello di autorità parentale ai fini della determinazione di quali figli compongono l’unità di riferimento di un titolare di prestazioni (cfr. consid. 2.6.). E’ vero che ai sensi dell’art. 300 cpv. 1 CC i terzi cui è affidata la cura di un figlio rappresentano i genitori nell’esercizio dell’autorità parentale. E’ altrettanto vero, tuttavia, che il disposto appena citato precisa che i terzi affidatari rappresentano i genitori nell’esercizio dell’autorità parentale per quanto ciò sia indicato per il debito adempimento del loro compito e riservate misure diverse. Pertanto unicamente in determinate situazioni concrete, segnatamente connesse alla cura quotidiana e all’educazione dei minori, i terzi affidatari - i quali non hanno l’autorità parentale e il cui potere di rappresentanza non limita i diritti dei genitori (cfr. Basler Kommentar Zivilgesetzbuch I, ad art. 300 ZGB, Basel-Genf-München 2006, n. 1, 4) - rappresentano i questi ultimi nell’esercizio dell’autorità parentale (cfr. Basler Kommentar, ad art. 300 ZGB, n. 6). Il legislatore nella Las, pur avendo derogato al regime Laps per quanto attiene all’unità di riferimento nel caso del titolare della prestazione assistenziale di un figlio maggiorenne ed economicamente dipendente (art. 21 las; consid. 2.6.), non ha d’altronde previsto alcuna divergenza rispetto alla Laps in relazione a titolari con figli di cui sono stati privati della custodia. In simili condizioni, il TCA, tutto ben considerato, ritiene che, dal profilo del calcolo delle prestazioni regolamentate dalla Laps e dalla Las i figli minorenni che sono oggetto di un affidamento familiare continuano a fare parte dell’unità di riferimento del genitore che ha l’autorità parentale. Tale soluzione si giustifica tanto più se si considera che l’obbligo di mantenimento dei figli dati in affido incombe in ogni caso ai genitori (cfr. art, 276 CC; 293; 294 CC; consid. 2.7.;Basler Kommentar, ad art. 276, n. 13, 26; Hausheer/Spycher, Handbuch des Unterhaltsrechts, Berna 1997, n. 06.42; Messaggio del 13 marzo 2002 relativo alla modifica della legge sull’armonizzazione e il coordinamento delle prestazioni sociali il Consiglio di Stato, pag. 9, citato al consid. 2.6.). 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 L’intervento dello Stato ha come scopo quello di anticipare il compenso alle famiglie affidatarie allorché i genitori non hanno i mezzi sufficienti per fare fronte al proprio obbligo di mantenimento (cfr. consid. 2.7.). L’ammontare di fr. 220.-- al mese a carico di una famiglia con prestazioni di aiuto sociale contemplato dalle Raccomandazioni del 6 novembre 2006 (cfr. consid. 2.7.) è inferiore a quello di fr. 400.-- al mese dovuto da una famiglia che percepisce prestazioni Laps. Tale differenza non presta, tuttavia, il fianco a critiche dal momento che il calcolo delle prestazioni Laps tiene conto di un fabbisogno di entità più elevato rispetto al forfait per il mantenimento di cui alla Las (cfr. art. 10 Laps; 19 Las; consid. 2.3.). Inoltre la Laps prevede il computo di costi non considerati dalla Las. Relativamente ai figli maggiorenni economicamente dipendenti (art. 2 Reg. Laps), l’art. 4a cpv. 2 Laps prevede che gli stessi fanno parte dell’unità di riferimento del genitore con il quale condividono il domicilio; se hanno domicilio per conto proprio, essi fanno parte dell’unità di riferimento del genitore da loro indicato. Secondo questa Corte il figlio maggiorenne economicamente dipendente, nel caso in cui, in primo luogo, vi sia un solo genitore (l’altro è deceduto o con il medesimo non è stato stabilito un rapporto di filiazione), in secondo luogo, non condivida il domicilio con questi e, infine, fino alla maggiore età sia stato considerato membro dell’unità di riferimento del genitore, continua a fare parte dell’unità di riferimento di quest’ultimo anche da maggiorenne. 2.10.   Questo Tribunale non può comunque esimersi dall’invitare l’USSI a esaminare di caso in caso se al genitore beneficiario di prestazioni assistenziali, una volta coperte le sue spese personali (segnatamente fabbisogno, pigione, cassa malati) e dedotto il contributo per il compenso ai genitori affiilianti di fr. 220.-- mensili (cfr. consid. 2.7.), resta ancora oppure no una somma a favore del figlio, ottenuta grazie al computo del fabbisogno di quest’ultimo che attualmente corrisponde a circa fr. 500.-- per il primo figlio (fr. 1'569.- - fr. 1'060.-; cfr. consid 2.3.) e a circa fr. 300.-- per il secondo figlio (fr. 1'886.- - fr. 1'569; cfr. consid. 2.3.). Qualora i figli collocati presso terzi affidatari intrattengano relazioni personali con i genitori (art. 273 CC), l’eventuale eccedenza serve effettivamente a coprire i costi che ciò comporta. In proposito è utile evidenziare che le Raccomandazioni relative al compenso dei genitori affilianti emanate dal DSS alla cfr. 3 prevedono che a partire dal 15° giorno consecutivo di rientro presso la propria famiglia, tutti gli importi mensili indicati da corrispondere ai terzi affidatari da parte dei genitori vengono ridotti del 50% (cfr. consid. 2.7.). La situazione potrebbe essere invece diversa nel caso in cui siano assenti relazioni personali tra i genitori e i figli. In tale ipotesi l’amministrazione veglierà a che determinate spese per questi ultimi - ad esempio i costi per medicamenti, consulti medici o dentistici non assunti dall’assicurazione malattia o la relativa franchigia, nonché i costi di partecipazione alle cure -, non vengano immediatamente coperti da prestazioni speciali dell’assistenza sociale, bensì siano addebitati al genitore nella misura dell’importo disponibile eccedente le spese computabili dei genitori sommate al contributo per la famiglia affidataria. 2.11.   In concreto RI 1 non è coniugata, né convive con il padre di __________ o con il padre di __________. (cfr. doc. H). La ricorrente risulta, poi, avere l’autorità parentale sui figli (cfr. doc. 41; art. 298 CC), come indicato dall’amministrazione (cfr. doc. A, IV) e non contestato dalla medesima (cfr. doc. I). Inoltre dal sistema informatico relativo alla banca dati MOVPOP che gestisce l’anagrafe della popolazione del Cantone si evince che __________, che è diventato maggiorenne il 27 ottobre 2008, non ha alcun rapporto di filiazione con il padre naturale. Alla luce di quanto esposto al considerando precedente e tenuto conto del fatto che l’insorgente ha mantenuto l’autorità parentale sui figli e che __________ ha un rapporto di filiazione solo con lei, occorre concludere che l’unità di riferimento della ricorrente sia costituita, sia nel periodo dal mese di settembre al 27 ottobre 2008 in cui i due figli erano entrambi minorenni, che nel lasso di tempo dal 27 ottobre al 30 novembre 2008 in cui __________ è diventato maggiorenne, dalla stessa e dai due figli, benché in affido. Del resto non va dimenticato che l’art. 4b Laps enuncia in ogni caso che se entrambi i genitori sono privati dell’autorità parentale, il minorenne fa parte dell’uni t à di riferimento della madre. 2.12.   Questa soluzione, contrariamente a quanto fatto valere dalla ricorrente (cfr. doc. I), non si rivela arbitraria, contraria al principio della buona fede e della parità di trattamento. In effetti il fatto di fare parte della stessa unità di riferimento comporta il computo non solo dei redditi e della sostanza dei figli, bensì anche delle loro spese (art. 22 Las; 5 Laps). L’USSI, come risulta dai conteggi effettuati (cfr. doc. B), in concreto ha tenuto conto di un fabbisogno di base per tre persone di fr. 1'886.-- al mese (cfr. consid. 2.3.), dei premi della cassa malati anche per i figli di complessivi fr. 5'954.-- annui, oltre che dei contributi sociali (fr. 1'636.-- annui), delle spese professionali di doppia economia domestica (fr. 4'500.-- annui) e altre spese professionali (fr. 2'400.-- annui) per il figlio __________. 2.13.   Per quanto concerne il reddito da attività dipendente conseguito da __________ e computato interamente nel calcolo della prestazione assistenziale della madre, giova segnalare che l’art. 22 lett. a cfr. 3 Las prevede che “vengono interamente computati i redditi dei minorenni facenti parte dell’unità di riferimento” (cfr. consid. 2.4.). Il TCA, in una sentenza 42.2008.3 del 18 giugno 2008, destinata alla pubblicazione in RtiD I-2009, si è chinato su di un caso in cui l’USSI, nel calcolo della prestazione assistenziale spettante a una madre di un figlio minorenne apprendista muratore al primo anno che abitava con lei, ha computato l’intero salario del figlio. Questa Corte, in merito, ha stabilito che la scelta del legislatore cantonale di computare per intero il reddito da attività lucrativa dei minorenni nel calcolo delle prestazioni assistenziali dei genitori (art. 22 lett. a cfr. 3 Las) - a differenza di quanto contemplato dalla Laps, ossia l’esclusione del conteggio del reddito da lavoro dipendente di un minorenne (cfr. art. 6 cpv. 4 Laps; 3 cpv. 1 Reg.Laps) - , alla luce dello scopo dell’assistenza pubblica che è quello di intervenire ogni qualvolta una persona si trovi in una situazione di bisogno concreto e del principio di sussidiarietà, non è contrario ala legislazione in vigore e neppure alla Costituzione federale, né alla Costituzione cantonale. In particolare questa Corte non ha ravvisato alcuna violazione del principio di parità di trattamento fra i figli minorenni di genitori che devono ricorrere alla pubblica assistenza e i figli di genitori che fanno fronte autonomamente alle proprie spese (al riguardo l’art. 323 cpv. 3 CC prevede che i genitori possono esigere dal figlio che vive con essi in economia domestica unicamente un adeguato contributo per il suo mantenimento che in generale equivale a 1/3 del guadagno). In proposito è stato rilevato che l’intervento dell’assistenza sociale costituisce, infatti, l’elemento di differenza fondamentale che permette di operare distinzioni in merito all’entità della somma che un figlio minorenne esercitante un’attività lucrativa è tenuto a mettere a disposizione della propria famiglia. In concreto, come appena deciso, il figlio __________ va considerato nell’unità di riferimento della ricorrente. Ne discende che la giurisprudenza appena menzionata torna applicabile anche nel caso in esame. A ragione, quindi, l’USSI, nel calcolo della prestazione assistenziale a cui ha diritto RI 1, ha computato l’intero stipendio percepito da suo figlio __________ di fr. 19'240.-- annui (cfr. doc. 156), ammontare peraltro non contestato dalla ricorrente. 2.14.   Alla luce delle considerazioni che precedono questa Corte deve concludere che l’operato dell’amministrazione non risulta censurabile. La decisione su reclamo del 31 ottobre 2008 deve, pertanto, essere confermata. 2.15.   RI 1 ha postulato l’ammissione all’assistenza giudiziaria (cfr. doc. I). La domanda della ricorrente di assistenza giudiziaria (cfr. doc. I) deve essere intesa solo come richiesta di gratuito patrocinio, visto che la procedura davanti al TCA è per principio gratuita (cfr. art. 29 cpv. 1 Lptca). Secondo l’art. 28 cpv. 2 Lptca la disciplina della difesa d’ufficio gratuito patrocinio è retta dalla Legge sul patrocinio d’ufficio e sull’assistenza giudiziaria. L'art. 3 Lag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2.16.   Nel caso di specie risulta dagli atti di causa che RI 1 vive grazie all'aiuto della pubblica assistenza. In tali circostanze, l'indigenza deve essere ammessa. Va poi considerato che la ricorrente non dispone delle necessarie conoscenze giuridiche, per cui l'intervento di un rappresentante legale, in casu l'avv. RA 2, appare senz'altro giustificato, e che le argomentazioni ricorsuali non erano palesemente destituite di esito favorevole. Il TCA ritiene, dunque, che in concreto siano soddisfatti i requisiti cumulativi per la concessione del gratuito patrocinio a favore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