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42.2007.6 vom 6. Juli 2007</w:t>
      </w:r>
    </w:p>
    <w:p>
      <w:r>
        <w:t>TI Tribunale d'appello, 2007-07-06, IT</w:t>
      </w:r>
    </w:p>
    <w:p>
      <w:r>
        <w:rPr>
          <w:b/>
        </w:rPr>
        <w:t xml:space="preserve">Quelle: </w:t>
      </w:r>
      <w:r>
        <w:t>https://mcp.opencaselaw.ch/entscheid/ti_gerichte_42.2007.6_d20070706</w:t>
      </w:r>
    </w:p>
    <w:p>
      <w:r>
        <w:t>FR: TI_GERICHTE 42.2007.6 du 6 juillet 2007</w:t>
      </w:r>
    </w:p>
    <w:p>
      <w:r>
        <w:t>IT: TI_GERICHTE 42.2007.6 del 6 luglio 2007</w:t>
      </w:r>
    </w:p>
    <w:p>
      <w:pPr>
        <w:pStyle w:val="Heading2"/>
      </w:pPr>
      <w:r>
        <w:t>Regeste</w:t>
      </w:r>
    </w:p>
    <w:p>
      <w:r>
        <w:t>L'importo della prestazione assistenziale determinato a seguito del rinnovo deve essere incrementato da fr. 1725 a 1851.In effetti gli interessi ipotecari per il 2007 sono aumentati. A ragione la parte del valore locativo relativa al figlio,indipendente economicamente,non va computata quale pigione</w:t>
      </w:r>
    </w:p>
    <w:p>
      <w:pPr>
        <w:pStyle w:val="Heading2"/>
      </w:pPr>
      <w:r>
        <w:t>Erwägungen</w:t>
      </w:r>
    </w:p>
    <w:p>
      <w:r>
        <w:rPr>
          <w:b/>
        </w:rPr>
        <w:t>E. 3</w:t>
      </w:r>
    </w:p>
    <w:p>
      <w:r>
        <w:t>persone 1786.-- 100.-- 1886.--</w:t>
      </w:r>
    </w:p>
    <w:p>
      <w:r>
        <w:rPr>
          <w:b/>
        </w:rPr>
        <w:t>E. 3.1</w:t>
      </w:r>
    </w:p>
    <w:p>
      <w:r>
        <w:t>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dell'art. 16c cpv. 1 OPC AVS/AI. In effetti anch'essa persegue lo scopo, come la citata norma, di non finanziare indirettamente persone non facenti parte del calcolo della prestazione complementare.</w:t>
      </w:r>
    </w:p>
    <w:p>
      <w:r>
        <w:rPr>
          <w:b/>
        </w:rPr>
        <w:t>E. 3.2</w:t>
      </w:r>
    </w:p>
    <w:p>
      <w:r>
        <w:t>Alla luce di quanto sopra esposto neppure l'obbligo all'assistenza tra parenti secondo l'art.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(sottolineature della redattrice). Al proposito, in un’altra sentenza P 56/00 non pubblicata, del 5 luglio 2001, il TFA, chiamato a statuire sulla deduzione della pigione nel caso di una vedova a beneficio della PC che viveva insieme ad una figlia minorenne proveniente da una relazione extraconiugale, ha rilevato quanto segue: " (…)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 3.- Im Zeitpunkt des Verfügungserlasses (4. März 1999) war die am 8. Dezember 1983 geborene Tochter der Beschwerdegegnerin fünfzehn Jahre alt und damit noch minderjährig. Einen Anspruch auf Kinder- oder Waisenrente hat sie nicht ausgelöst. Als Inhaberin der elterlichen Gewalt (nunmehr elterliche Sorge: Ziff. I 4 des BG über die Änderung des ZGB vom 26. Juni 1998, in Kraft seit 1. Januar 2000; AS 1999 1118, 1144) war die Beschwerdegegnerin nach Art. 276 ZGB verpflichtet, für den Unterhalt der Tochter aufzukommen und ihr unentgeltlich Unterkunft zu gewähren. Im Hinblick auf diese zivilrechtliche Unterhaltspflicht hat die Vorinstanz nach dem Gesagten zu Recht entschieden, dass von einer Mietzinsaufteilung gemäss Art. 16c ELV abzusehen ist, woran die Vorbringen der Ausgleichskasse nichts zu ändern vermögen. Wohl können nach Art. 323 Abs. 2 ZGB die Eltern vom Kind, das in häuslicher Gemeinschaft mit ihnen lebt, verlangen, dass es einen angemessenen Beitrag an seinen Unterhalt leistet. Dies setzt indessen voraus, dass das Kind hiezu in der Lage ist und über eigenes Einkommen oder Vermögen verfügt. So verhält es sich hier unbestrittener massen jedoch nicht. (…)" (sottolineature della redattrice). Nella decisione del 13 gennaio 2002 (Inc. n. 33.2001.93) il TCA ha respinto la richiesta di una coppia di assicurati convivente con un'altra coppia di persone, di considerare interamente la pigione a carico del postulante le prestazioni complementari. Anche nella sentenza del 7 gennaio 2003 (Inc. n. 33.2002.72) questo Tribunale Cantonale delle Assicurazioni ha respinto la richiesta di una madre, che condivideva l’appartamento con la figlia maggiorenne, di considerare il canone di locazione interamente a suo carico pur essendo la figlia in attesa di prestazioni AI a seguito di un grave incidente. Nel caso giudicato il 10 giugno 2002 (Inc. n. 33.2001.55) questo Tribunale rammentava come l'UFAS ha commentato l'art. 16c OPC-AVS/AI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Il TCA ha ammesso la divisione per due della pigione - come indicato dall'amministrazione - in un altro caso di convivenza tra madre e figlia (decisione del 14 giugno 2002, Inc. n. 33.2001.82). In altra sentenza dell’11 settembre 2002 il TCA ha ritenuto che due conviventi in età che avevano congiuntamente sottoscritto un contratto di locazione dovevano vedersi imputare la pigione in ragione di ½ ciascuno (Inc. n. 33.2002.25). Ancora, nella S TCA del 28 marzo 2006 (Inc. n. 33.2005.10), il TCA ha negato l'esistenza dell'eccezione al principio della suddivisione della pigione per teste, a motivo che la convivenza della mamma/suocera e del nipote con i coniugi richiedenti le PC configurava la situazione opposta a quella che si dovrebbe presentare per poter mettere in pratica la summenzionata eccezione. In questo caso, infatti, i richiedenti convivevano con i loro parenti per aiutare i secondi sia dal profilo fisico che psicologico, e non invece per farsi aiutare da loro. Da essi, non ricevevano quindi alcuna assistenza specifica quale controprestazione per l'ospitalità loro concessa. Da ultimo, nel giudizio del 6 settembre 2006 (inc. n. 33.2006.5), il TCA ha ritenuto che l'occupazione dell'abitazione da parte del ricorrente ed una signora, che svolgeva le faccende domestiche per conto del primo a causa dei suoi numerosi impedimenti di salute, sia paritaria e che pertanto la pigione lorda andava regolarmente suddivisa in parti uguali fra i due conviventi, non essendo il ricorrente neppure obbligato giuridicamente o moralmente ad ospitare questa signora. All ' assicurato è stata computata a titolo di pigione lorda la metà dell ' intero costo. 2.12.   Il figlio __________, non facendo parte dell’unità di riferimento del ricorrente, è per definizione escluso dal calcolo della prestazione assistenziale del padre. In queste circostanze, la sua parte di pigione (1/4) non deve essere presa in considerazione nel calcolo dell’aiuto sociale dei suoi genitori e della sorella. Si ottiene così che solo 3/4 del valore locativo devono essere computati a questi ultimi. Nemmeno è infatti data nella presente fattispecie l ' eccezione della situazione di assistenza specifica evocata dal TFA nella sentenza DTF 105 V 272, dove " (…) wohnte ein ausgebildeter Krankenpfleger in der selben Wohnung wie eine pflegebedürftige Bezügerin von Ergänzungsleistungen. Der Pfleger erbrachte kostenlos zahlreiche Hilfeleistungen, ohne welche die EL-Bezügerin in ein Pflegeheim hätte ziehen müssen. Dafür bezahlte er keinen Beitrag an die Miete. Hier rechtfertigte es sich ausnahmsweise, im Sinne eines Ausgleichs der Empfängerin der Ergänzungsleistungen den vollen Mietzins anzurechnen. (…).", come ricorda il TFA medesimo nella sentenza P 26/00 del 26 gennaio 2001 nella causa W., al considerando 2b. Nella situazione concreta il ricorrente, la moglie e la figlia non sono assistiti da terzi e non ricevono cure dal figlio in sostituzione di prestazioni che altrimenti sarebbero poste a carico di diversi assicuratori sociali. Il ricorrente neppure è obbligato giuridicamente o moralmente ad ospitare il figlio. In casu n on si è infatti di fronte ad una questione in cui la vita in comune è riconducibile ad un obbligo di mantenimento di diritto civile fondato sugli artt. 276 e 277 CC, ritenuto che __________ ha 23 anni ed è attivo professionalmente. Verosimilmente egli ha terminato pure la seconda formazione di disegnatore di impianti elettrici dopo aver conseguito il diploma di elettricista (cfr. doc. 17). Inoltre, non può essere richiamata l'assistenza tra parenti in linea ascendente e discendente (Basler Kommentar, 2002, ad art. 328 ZGB n. 15) contemplata dall ' art. 328 CC, poiché applicabile soltanto per chi vive in condizioni agiate. In proposito va rilevato che siccome il concetto del dovere di assistenza tra parenti è in sé problematico e non si adatta più ai tempi attuali, la nozione di "condizioni agiate" deve essere interpretata in senso stretto. La Conferenza svizzera per l'aiuto sociale 2000, nelle sue direttive in vigore dal 1° gennaio 2001, ha proposto agli organi dell'aiuto sociale di considerare che le persone sono in grado di contribuire al mantenimento dei loro parenti a partire da un reddito imponibile di Fr. 60'000.- per le persone sole e di Fr. 80'000.- per le coppie, a cui si deve aggiungere l'ammontare di Fr. 10'000.- per ogni figlio minorenne o in formazione ( Basler Kommentar , ad art. 328 ZGB n. 15b e n. 17). Nella fattispecie in esame il ricorrente ha richiesto il rinnovo dell'erogazione di una prestazione assistenziale, poiché la sua situazione finanziaria si rivela difficile. Di conseguenza, l’insorgente non si trova manifestamente in condizioni economiche agiate, circostanza che comporta che egli non è quindi tenuto a soccorrere economicamente il figlio (citata STFA del 9 gennaio 2003, P 76/01; S TCA del 30 gennaio 2003 nella causa C.S-G., Inc. n. 39.2002.8). In concreto neppure risultano gli elementi per considerare che si tratta di un obbligo morale del ricorrente nei confronti del figlio, quale eventuale controprestazione per una sua collaborazione (citata STFA del 9 gennaio 2003, P 76/01; a contrario DTF 105 V 274). Infine, il ricorrente non ha addotto che il loro figlio, convivente, occuperebbe la maggior parte dell a casa (citata STFA del 9 gennaio 2003, P 76/01, consid. 1.2 e 1.5). Tali circostanze permettono dunque di ritenere che l'occupazione dell'abitazione da parte dei quattro conviventi sia paritaria e che pertanto il valore locativo, a titolo di pigione, vada regolarmente suddivisa in parti uguali, come ha correttamente effettuato l’USSI. Ritenuto, quindi, come l ' abitazione in questione sia occupata da quattro persone, ma solo tre rientrano nel calcolo della prestazione assistenziale, a titolo di spesa per l’alloggio, vanno computati i 3/4 di fr. 12'251.-- (cfr. consid. 2.11.), ovvero fr. 9'188.-- annui e non solo fr. 7'928.-- come considerato dall’USSI. 2.13.   L’art. 8 cpv. 1 lett. a Laps prevede quali spese computabili le spese ai sensi degli art. 25-31 LT. L’art. 31 cpv. 2 LT contempla le spese di manutenzione di immobili. Inoltre secondo l’art. 8 cpv. 1 lett. b Laps, combinato con l’art. 32 cpv. 1 lett. a LT, anche gli interessi ipotecari vengono considerati quale spesa computabile. La spese di manutenzione e gli interessi ipotecari sono riconosciuti fino all’importo complessivo dei redditi della sostanza contemplati dagli art. 19 e 20 LT, maggiorato di fr. 3'000.-- (art. 6 cpv. 2 lett. a Laps; Messaggio n. 5221 del</w:t>
      </w:r>
    </w:p>
    <w:p>
      <w:r>
        <w:rPr>
          <w:b/>
        </w:rPr>
        <w:t>E. 4</w:t>
      </w:r>
    </w:p>
    <w:p>
      <w:r>
        <w:t>persone 2054.-- 100.-- 2154.--</w:t>
      </w:r>
    </w:p>
    <w:p>
      <w:r>
        <w:rPr>
          <w:b/>
        </w:rPr>
        <w:t>E. 5</w:t>
      </w:r>
    </w:p>
    <w:p>
      <w:r>
        <w:t>persone 2323.-- 100.-- 2423.--</w:t>
      </w:r>
    </w:p>
    <w:p>
      <w:r>
        <w:rPr>
          <w:b/>
        </w:rPr>
        <w:t>E. 6</w:t>
      </w:r>
    </w:p>
    <w:p>
      <w:r>
        <w:t>persone 2592.-- 100.-- 2692.--</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2007 in BU 3/2007 del 23 gennaio 2007 pag. 27-28) 2.5.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j Laps; Messaggio n. 5250 dell’8 maggio 2002, pag. 5). 2.6.   RI 1, con il ricorso, ha contestato il calcolo con cui l’USSI ha stabilito la prestazione assistenziale di fr. 1'725.-- al mese accordatagli per il periodo da giugno a novembre 2007. Più precisamente, egli ritiene, da un lato, che a torto non si sia tenuto conto dei premi dell’assicurazione sulla vita, dall’altro, che la somma di interessi ipotecari computata sia troppo esigua e che alla stessa vadano aggiunte le spese di riscaldamento e di manutenzione. Egli, inoltre, ha fatto valere di dover far fronte a un costo mensile di fr. 100.-- per l’elettricità e l’acqua, nonché alla partecipazione dei costi di visite mediche specialistiche e alle spese per medicamenti non assunti dalla LAMal (cfr. doc. I, V). L’Ufficio del sostegno sociale, dal canto suo, ha indicato che i premi dell’assicurazione sulla vita non sono computati ai fini assistenziali e che il valore locativo nell’ambito della spesa alloggiativa è considerato nella misura di ¾ , in quanto ¼ è addebitabile al figlio convivente nell’economia domestica ma non facente parte dell’unità di riferimento essendo economicamente indipendente. L’amministrazione ha altresì osservato che le spese per l’erogazione dell’elettricità sono già comprese nel forfait per il mantenimento. L’USSI ha, tuttavia, riconosciuto che a seguito dell’aumento del tasso ipotecario l’ammontare degli oneri ipotecario a carico del ricorrente è più elevato e conseguentemente la prestazione assistenziale deve essere incrementata di fr. 22.-- (cfr. doc. I; VIII). 2.7.   Chiamato a esaminare l’operato dell’USSI, il TCA rileva, dapprima, che l’art. 21 Las, che si riferisce all’unità di riferimento, prevede che: " In deroga all’art. 4 Laps, se il titolare del diritto è un figlio maggiorenne non economicamente indipendente e il reddito disponibile residuale della sua unità di riferimento supera la soglia di intervento delle prestazioni assistenziali, dall’unità di riferimento vengono esclusi i genitori che non ottemperano al loro obbligo di mantenimento ai sensi dell’art. 277 CCS. (cpv. 1) In caso di rigore, l’autorità competente può pure escludere dall’unità di riferimento altri membri che non ottemperano ai loro obblighi di mantenimento o di assistenza nei confronti del titolare del diritto, ai sensi degli art. 159, 163, 276, 328 e 329 CCS. (cpv. 2)." Secondo l'art. 4 Laps: " L’unità di riferimento è costituita: a) dal titolare del diritto; b) dal coniuge; c) dal partner convivente, se la convivenza è considerata stabile; d) dai figli minorenni di cui essi hanno l’autorità parentale; e) dai figli maggiorenni, se questi non sono economicamente indipendenti.”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l’art. 4 cpv. 1 Laps l’unità di riferimento del titolare del diritto alla prestazione è costituita dal coniuge, come pure dai figli maggiorenni se questi non sono economicamente indipendenti. L’art. 2 Reg.Laps, definisce le persone economicamente dipendenti, e meglio: " Una persona maggiorenne non è economicamente indipendente se, cumulativamente: a) ha meno di 30 anni; b) non è sposata, legalmente separata, divorziata o vedova; c) non ha figli; d) è in prima formazione. (cpv. 1)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 (cpv. 2)” In concreto l’unità di riferimento di RI 1 è costituita dallo stesso, dalla moglie e dalla figlia __________, nata il __________ e ancora agli studi (cfr. doc. 44). Quest’ultima adempie i requisiti di cui all’art. 2 Reg.Laps per essere considerata una persona economicamente dipendente ai sensi dell’art. 4 cpv. 1 lett. e Laps. Il figlio __________, nato il 3 giugno 1984, per contro, non fa parte dell’unità di riferimento del ricorrente, pur abitando con lo stesso, in quanto è economicamente indipendente (cfr. doc. V). L’insorgente non ha, del resto, contestato tale circostanza. 2.8.   La soglia di intervento, nel caso di specie, la cui unità di riferimento è formata da tre persone, ammonta complessivamente a fr. 1’886.-- al mese, pari a fr. 22’632.-- all’anno (cfr. consid. 2.4.). In casu, visto che l’unità di riferimento del ricorrente è composta da più di due persone di almeno sedici anni compiuti, l’importo annuo di fr. 22'632.-- va integrato da un supplemento mensile di fr. 206.-- assegnato alla terza persona, pari a fr. 2'472.-- all’anno (cfr. Direttive riguardanti gli importi delle prestazioni assistenziali per il 2007 in BU 3/2007 del 23 gennaio 2007 pag. 27-28; consid. 2.4.). Di conseguenza, in concreto, la soglia di intervento da computare nel calcolo della prestazione assistenziale corrisponde a fr. 25'094.-- annui, ossia fr. 2'092.-- al mese. Tale importo corrisponde a quello computato dall’USSI nel calcolo effettuato il 6 luglio 2007 (cfr. doc. 79). I costi attinenti al consumo di elettricità menzionati dal ricorrente (cfr. doc. V) sono, poi, già compresi nell’importo della soglia di intervento (cfr. Direttive COSAS 2005 p.to B 2.1.). Pertanto a questa spesa va fatto fronte mediante tale ammontare. 2.9.   In relazione ai premi dell’assicurazione vita che l’insorgente ha chiesto di computare nel conteggio della prestazione assistenziale (cfr. doc. I), è utile ribadire che per quanto concerne le spese computabili l’art. 22 Las rinvia all’art. 8 Laps. L’art. 8 Laps, a sua volta, rimanda agli art. 25-31 della Legge Tributaria, nonché all’art. 32 LT, ma non alla lettera g di quest’ultimo disposto, la quale prevede proprio la deduzione dei premi e contributi per assicurazioni sulla vita. Ne discende che i premi relativi all’assicurazione vita non sono computabili ai fini della determinazione della prestazione assistenziale. A tale proposito giova rilevare che i redditi computabili e le spese computabili - queste ultime costituite dalla spesa vincolata e dalla spesa per l’alloggio - agli art. 22 Las e 6, 8 e 9 Laps (cfr. consid. 2.5.), sono elencati in modo esaustivo. Di conseguenza, una volta conteggiate tali voci nel calcolo della prestazione assistenziale, non è possibile computarne altre non previste dalla Las e dalla Laps. A eventuali ulteriori costi che esulano sia dalla spesa per l’alloggio, che dalla lista esaustiva delle spese vincolate si deve, perciò, sopperire tramite l’importo della soglia di intervento, analogamente a quanto avviene per le PC, con l’ammontare destinato a coprire il fabbisogno minimo (in particolare: vestiti, vitto, mobilio, telefono e tasse telefoniche, acqua, luce, ecc.;cfr. E. Carigiet, Ergänzungsleistungen zur AHV/IV, p. 23 N 74, in Schweizerisches Bundesverwaltungsrecht (SBVR), Basilea 1998). In simili condizioni, nel rispetto del principio della legalità, secondo cui in virtù di un principio fondamentale del diritto, ogni attività amministrativa deve essere riconducibile a una norma legale che ne delinei ampiezza e limiti delle funzioni (principio della legalità: cfr. Häfelin/Müller, Allgemeines Verwaltungsrecht, 4a ed., cifra marg. 368 segg.; STFA del 20 agosto 2003 nella causa X., H 231/02, consid. 5), l’USSI non può aumentare l’importo della prestazione assistenziale secondo le richieste del ricorrente. Pertanto al pagamento dei premi dell’assicurazione vita va fatto fronte con l’ammontare relativo alla soglia di intervento, oppure, come suggerito dall’amministrazione (cfr. doc. III), accertando con il proprio Istituto assicurativo se è possibile o meno un esonero temporaneo. 2.10.   Per quanto attiene alla spesa per l’alloggio, l’USSI ha computato l’importo di fr. 660.-- al mese, corrispondente a fr. 7'928.--all’anno (cfr. doc. 79). L’art. 22 lett. c Las, in vigore dal 1° ottobre 2006, prevede che per il calcolo della spesa per l’alloggio viene considerato l’affitto maggiorato delle spese accessorie effettive fino al massimale previsto dall’art. 9 Laps (cfr. consid. 2.5.). La norma recentemente introdotta dalla Las all’art. 22 lett. c si differenzia dal regime previsto per la Laps, il cui art. 5 del Regolamento sull'armonizzazione e il coordinamento delle prestazioni sociali sancisce che: " La spesa per l'alloggio è definita come segue: a)                                                                      per l'inquilino, la pigione netta maggiorata del 15% per le spese accessorie. b)                                                                      per il proprietario, il valore locativo dell'abitazione primaria, maggiorato del 15% per le spese accessorie." La Laps non fa capo alle spese effettive, bensì a un importo fittizio calcolato sulla base della pigione netta. L’art. 22 lett. c Las è, per contro, analogo alla regolamentazione di cui alla LPC. Ai sensi dell’art. 3b lett. b LPC vanno, in effetti, computate le spese per la pigione di un appartamento e le relative spese accessorie (effettive), nei limiti degli importi di fr. 13'200.-- per le persone sole e di fr. 15'000.-- per coniugi e le persone con figli (cfr. consid. 2.5.). Nel contesto delle prestazioni complementari la pigione è, inoltre, riconosciuta quale spesa non soltanto ai locatari di un alloggio, ma anche a persone che vivono nell'abitazione di loro proprietà o cui spetta l'usufrutto o un diritto di domicilio nell'abitazione. Ciò nella misura del valore locativo (cfr. Direttive UFAS per le prestazioni complementari, n. 3021). L ' art. 16a OPC-AVS/AI contempla, poi, un forfait annuo di Fr. 1 ' 680.- per le spese accessorie valido per le persone che abitano un immobile di loro proprietà. In simili circostanze, vista la scelta del legislatore di distanziarsi, in relazione al calcolo della pigioni ai fini della determinazione del diritto all’assistenza sociale, dal regime Laps, riprendendo invece la soluzione adottata per le PC a livello federale, anche ai richiedenti le prestazioni assistenziali proprietari dell’abitazione in cui vivono va applicato per analogia il regime contemplato dalle PC. Il valore locativo dell'abitazione occupata dal proprietario è valutato secondo i criteri validi in materia d'imposta cantonale diretta del cantone di domicilio (cfr. art. 12 cpv. 1 OPC-AVS/AI; Carigiet/Koch, Ergänzungs-leistungen zur AHV/IV, Supplemento, Zurigo 2000, pag. 100). In virtù dell ' art. 20 cpv. 1 lett. b LT, è imponibile il reddito da sostanza immobiliare, segnatamente il valore locativo di immobili o di parti di essi, che il contribuente ha a disposizione per uso proprio in forza del suo diritto di proprietà o di un usufrutto ottenuto a titolo gratuito. La legge non indica tuttavia come debba essere valutato ai fini dell'imposizione il vantaggio economico derivante dall'uso personale della proprietà fondiaria. Secondo la giurisprudenza, il valore locativo deve corrispondere alla pigione che il contribuente dovrebbe pagare per avere l’uso di un bene equivalente. Il valore locativo deve dunque corrispondere di massima alla mercede che, secondo le condizioni di mercato, il proprietario potrebbe richiedere locando lo stesso immobile ad un terzo. Il Tribunale federale ha in particolare precisato che il valore locativo deve equivalere al canone che si potrebbe esigere equamente da un locatario desideroso di assicurarsi il godimento di un oggetto simile, tenendo conto in modo adeguato delle particolarità della costruzione e delle sue installazioni, nella misura in cui esse rispondano ai bisogni normali di un utente di condizioni economiche e sociali analoghe a quelle del proprietario (ASA 15 pag. 361; 438 consid. 1; DTF 69 I 24/25; RDAT II-1996 n. 5t). Fra i diversi metodi di fissazione del valore locativo, nel caso di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In concreto, per determinare il valore locativo dell'abitazione di __________fa capo alla più recente notifica di tassazione del ricorrente. Agli atti v i è la notifica di tassazione IC/IFD 2005 (cfr. doc. 55), che contempla un valore locativo di fr. 10’571.--. A titolo di pigione per l’abitazione di __________, dunque, deve essere considerato l’importo di fr. 10'571.--. Allo stesso va aggiunta la somma forfetaria di fr. 1'680.-- per le spese accessorie, per un ammontare complessivo di fr. 12'251.-. Tenendo già conto di un importo forfetario di fr. 1'680.-- è escluso che possano essere prese in considerazione ulteriori costi per riscaldamento e acqua, come invece postulato dall’insorgente. 2.11.   In concreto, tuttavia, come esposto sopra, il figlio __________, pur vivendo con i genitori e la sorella, non fa parte dell’unità di riferimento del padre, essendo indipendente economicamente. L’art. 9 cpv. 2 Laps, al quale la Las rinvia (cfr. art. 22 lett. c), enuncia che se una persona che non fa parte dell’unità di riferimento convive con uno dei suoi membri, dalla spesa per l’alloggio viene dedotta la quota-parte imputabile al convivente. Anche le Direttive COSAS 2005 al p.to B.3 prevedono che: " Nel caso di persone conviventi non tutte beneficiarie del sostegno sociale (v. capitolo F.5.1), si divide la quota mensile della pigione per il numero di persone che compongono l’economia domestica, conformemente al capitolo F.5.1. Si aggiunge poi l’importo ottenuto al budget”. La norma contemplata dall’art. 9 cpv, 2 Laps è analoga all’art. 16c OPC-AVS/AI secondo cui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(cpv. 1). Di massima, l’ammontare della pigione è ripartito in parti uguali (cpv. 2). L ' art. 16c OPC-AVS/AI ha in pratica codificato quanto stabilito in precedenza dalla giurisprudenza federale. La giurisprudenza sviluppata in ambito PC va, di conseguenza, applicata anche nell’ambito Laps, rispettivamente dell’aiuto sociale. In una sentenza del 3 gennaio 2001 nella causa A. pubblicata in DTF 127 V 10, il TFA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 TCA dell '</w:t>
      </w:r>
    </w:p>
    <w:p>
      <w:r>
        <w:rPr>
          <w:b/>
        </w:rPr>
        <w:t>E. 11</w:t>
      </w:r>
    </w:p>
    <w:p>
      <w:r>
        <w:t>novembre 1991 nella causa A.T., S 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(cfr. DTF 105 V 272 consid. 1). Questa giurisprudenza è stata ribadita dal TFA in una sentenza non pubblicata del 30 marzo 2001 nella causa T. (P 2/01).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105 V 272). In quest’ultimo caso il TFA ha ammesso l’eccezione alla suddivisione in parti uguali del canone di locazione, in quanto la titolare del contratto di locazione, affetta da disturbi fisici e psichici, necessitava forzatamente delle cure erogatele dalla persona che divideva con lei l’appartamento; in caso contrario avrebbe dovuto essere ricoverata in istituto. Tali cure risultavano quindi di grande importanza per l’assicurata, che aveva un grosso debito di riconoscenza nei confronti dell’amico (DTF 105 V 27 2; Carigiet/Koch , citato Supplemento, pag. 86; Rumo-Jungo , Bundesgesetz über Ergänzungsleistungen zur Alters-, Hinter-lassen- und Invalidenversicherung in: e. Murer und h-u. Stauffer , Rechtsprechung des Bundesgerichts zum Social-versicherungsrecht, Zurigo 1994, pag. 80). In una sentenza P 76/01 del 9 gennaio 2003, in un caso ticinese, il Tribunale Federale delle assicurazioni ha stabilito quanto segue: " (…) 1.2 (…) La disposizione è stata dichiarata conforme alla legge nella sentenza pubblicata in DTF 127 V 10, in quanto impedisce il finanziamento indiretto di persone che non fanno parte del calcolo della prestazione complementare. 1.3 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A.________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art. 7 e 8 OPC AVS/AI). Dall'altro per lo stesso motivo egli non può avvalersi di un obbligo di mantenimento da parte dei genitori secondo l'art. 276 e 277 CC.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 3. I ricorrenti si avvalgono pure implicitamente dell'art. 328 cpv. 1 CC secondo cui i parenti in linea ascendente e discendente e i fratelli e le sorelle sono tenuti vicendevolmente a soccorrersi quando senza di ciò fossero per cadere nel bisogno.</w:t>
      </w:r>
    </w:p>
    <w:p>
      <w:r>
        <w:rPr>
          <w:b/>
        </w:rPr>
        <w:t>E. 13</w:t>
      </w:r>
    </w:p>
    <w:p>
      <w:r>
        <w:t>marzo 2002 pag. 14). In linea di principio vanno riconosciute le spese effettive di manutenzione, gestione e amministrazione sostenute nel biennio di computo. Tuttavia, per semplificare l'accertamento e per evitare al contribuente la raccolta e la presentazione della documentazione, è lecito concedere la deduzione forfetaria delle spese (cfr. art. 31 cpv. 4 LT; CDT n° 282 del 30 ottobre 1992 in re J.P., CDT n° 316 del 28 agosto 1986 in re K.; circolare n° 33/1 ACC del 15 gennaio 1985; Epiney-Colombo RDAT 1991 II p. 310; Rivier, L'imposi­tion du revenu et de la fortune, Ed. Ides et Calendes 1980 Neuchâtel, pag. 122). In base all'art. 2 Reg. LT (cfr. pure circolare n° 7/2005 della Divisione delle Contribuzioni) la deduzione forfetaria è del 15% del reddito lordo se l'immobile è stato costruito fino a 10 anni prima dell'inizio del periodo fiscale; oltre i 10 anni la deduzione è del 25%. Dalla tassazione 2005 risulta, per le spese di gestione e manutenzione immobili, l’importo di fr. 2'643.-- (cfr. doc. 55) che corrisponde al 25% del valore locativo di fr. 10'571.--. Di conseguenza la somma di fr. 2'643.-- computata dall’USSI per le spese di manutenzione di fondi e fabbricati nel Comune di domicilio risulta corretta. Dagli atti emerge che l’insorgente per il 2007 deve far fronte al pagamento di interessi ipotecari pari a fr. 4'702.-- (fr. 2'351 X 2; cfr. doc. C/1) e non unicamente di fr. 4'466.--, come invece indicato nella decisione del 6 luglio 2007 (cfr. doc. 79). Ai fini della determinazione della prestazione assistenziale a cui ha diritto l’insorgente da giugno a novembre 2007 va, perciò, computato l’importo di fr. 4'702.--, come del resto riconosciuto dall’amministrazione con scritto del 23 ottobre 2007 (cfr. doc. VIII + bis). Per inciso è utile evidenziare che gli interessi ipotecari e le spese di manutenzione non vanno divisi per il numero delle persone che compongono l’economia domestica, escludendo dal computo la parte relativa alle persone non facenti parte dell’unità di riferimento del richiedente le prestazioni. Anche per quanto riguarda i redditi computabili, quale reddito della sostanza immobiliare, viene conteggiato l’intero valore locativo e non solo la quota parte delle persone rientranti nell’unità di riferimento. In effetti gli interessi ipotecari, le spese di manutenzione e il reddito della sostanza immobiliare vengono computati integralmente al proprietario della sostanza immobiliare e non a chi abita in tale immobile sulla base di un diritto personale. 2.14.   Per quanto concerne il premio dell’assicurazione obbligatoria contro le malattie, ai sensi dell’art. 8 cpv. 1 lett. g Laps (cfr. consid. 2.5.) vanno computati i premi ordinari, ma al massimo fino al raggiungimento dell’importo della quota cantonale media ponderata. Secondo, poi, l’art. 4 Reg.Laps quale premio per l’assicurazione obbligatoria contro le malattie ai sensi dell’art. 8 cpv. 1 lett. g della legge va inteso il premio riconosciuto per il sussidio per la riduzione dei premi dell’assicurazione di base contro le malattie. A titolo di premio della cassa malati, quindi, non va tenuto conto del premio effettivo a carico di un assicurato, bensì del premio medio ponderato relativo alla cassa malati in questione, fino al limite massimo previsto dalla quota cantonale media ponderata. Dal Messaggio n. 5221 del 13 marzo 2002 relativo alla modifica della Laps emerge che tale soluzione ha un’incidenza minima sul calcolo del reddito disponibile residuale, ma comporta un vantaggio amministrativo importante, nel senso che il valore standardizzato del premio, che cambia una volta all’anno viene immesso automaticamente (cfr. Messaggio n. 5221 pag. 13; STCA del 27 aprile 2005 nella causa R., 39.2004.11, consid. 2.12.). Il ricorrente, la moglie e la figlia __________ sono affiliati alla cassa malati __________ (cfr. doc. C2). Per il 2007 il relativo premio medio ponderato è pari a fr. 4'197.30 ciascuno per l’insorgente e la moglie e a fr. 960.-- per la figlia __________ (cfr. Decreto esecutivo concernente la determinazione del premio riconosciuto ai singoli assicuratori per l’applicazione delle riduzioni individuali di premio nell’assicurazione sociale malattie per l’anno 2007 del 17 ottobre 2006). L’ammontare di fr. 4'197.30 è superiore alla quota media cantonale ponderata per il 2007, corrispondente, per gli adulti a fr. 4'000.--. L’importo di fr. 960.--, per contro, è inferiore alla quota media cantonale ponderata per i minorenni di fr. 996.-- (cfr. art. 1 Decreto esecutivo concernente le basi di calcolo per l’applicazione delle riduzioni individuali di premio nell’assicurazione sociale malattie per l’anno 2007). Per quanto attiene al fatto che __________ nel mese di luglio 2007 ha compiuto 18 anni, va rilevato che ai sensi dell’art. 27 LCAMal ai fini dell’applicazione della regolamentazione sul sussidio nell’assicurazione sociale contro le malattie, è considerato figlio la persona che ha lo statuto giuridico di figlio o di affiliato ai sensi del Codice civile svizzero, fino alla fine dell’anno in cui compie i 18 anni. Inoltre nel Messaggio del 3 gennaio 1996 l’allora DOS, a proposito dell’art. 27 affermava che “per definire il concetto di figlio si ricorre al CCS. Il termine di 18 anni per passaggio dallo statuto di figlio a quello di persona sola riprende l’ordinamento della LAMal in fatto di premi assicurativi: il premio per adulti è infatti corrisposto a partire dalla fine dell’anno in cui l’assicurato compie</w:t>
      </w:r>
    </w:p>
    <w:p>
      <w:r>
        <w:rPr>
          <w:b/>
        </w:rPr>
        <w:t>E. 18</w:t>
      </w:r>
    </w:p>
    <w:p>
      <w:r>
        <w:t>anni (cfr. STCA 36.2005.66-67 del 30 novembre 2005). Pertanto ai fini del calcolo della prestazione assistenziale va tenuto conto per il ricorrente e la moglie della quota media cantonale ponderata di fr. 4'000.-- ciascuno, mentre per __________ del premio medio ponderato dell’__________ pari a fr. 960.--. In casu l’USSI, quale premio complessivo della cassa malati, ha dunque correttamente conteggiato di fr. 8’960.-- (fr. 4000.-- x 2 + fr. 960; cfr. doc. 79). Per quanto riguarda le franchigie, le partecipazioni ai costi, le spese per medicamenti non assunti dalla LAMal che il ricorrente deve sostenere (cfr. doc. V), esse sono previste quali prestazioni speciali all’art. 20 cpv. 1 lett. b Las. Al riguardo va, tuttavia, osservato che dal Messaggio del 15 ottobre 2004 sul preventivo 2005 del Consiglio di Stato emerge che è stata decisa una prassi più restrittiva per le prestazioni speciali giusta l’art. 20 Las (cfr. Messaggio n. 5589 p.to 10.2.2.3). 2.15.   Per il resto l’insorgente non ha sollevato ulteriori eccezioni in merito al conteggio delle singole voci di reddito e delle spese computabili indicate dall’USSI valido a decorrere dal mese di giugno al mese di novembre 2007. In casu trattasi di una vertenza in materia di assistenza sociale. Alle procedure Las, rinviando quest’ultima all’art. 33 Laps, si applica la legge di procedura per le cause davanti al Tribunale cantonale delle assicurazioni e conseguentemente i principi procedurali validi per i procedimenti di diritto delle assicurazioni sociali. Ora, nell'ambito delle assicurazioni sociali, pur essendo la procedura retta dal principio inquisitorio, secondo cui i fatti rilevanti per il giudizio devono essere accertati dal giudice (cfr. SVR 2001 KV N. 50 pag. 145; per le assicurazioni sociali disciplinate dalla legislazione federale cfr. art. 61 lett. c LPGA), il Tribunale federale delle assicurazioni ha più volte ricordato come questo principio non sia assoluto, atteso che la sua portata è limitata dal dovere delle parti di collaborare all'istruzione della causa (cfr. DLA 2001 N. 12 pag. 145; STFA del 9 maggio 2003 nella causa A., C 271/02; STFA del 9 maggio 2001 nella causa W.Z., P 36/00; STFA del 13 marzo 2001 nella causa M.P., U 429/00; STFA del 5 giugno 2000 nella causa V.P., I 76/00; DTF 125 V 195; Untersuchungsgrundsatz, SVR 1995 AHV Nr. 57 pag. 164 consid. 5a; AHI praxis 1994 pag. 212; DTF 117 V 263; DTF 117 V 282; per le assicurazioni sociali disciplinate dalla legislazione federale cfr. art. 61 lett. c LPGA). Il dovere processuale di collaborazione comprende in particolare l'obbligo delle parti di portare - ove ciò fosse ragionevolmente possibile - le prove necessarie, avuto riguardo alla natura della disputa e ai fatti invocati, ritenuto che altrimenti esse rischiano di dover sopportare le conseguenze della carenza di prove (cfr. DLA 2002 pag. 178 (179); STFA del 7 dicembre 2001 nella causa M., U 202/01; STFA del 9 maggio 2001 nella causa G.L., P 52/00; STFA del 9 maggio 2001 nella causa W.Z., P 36/00; DTF 125 V 195 consid. 2 con riferimenti). Nel caso di specie il ricorrente non ha portato ulteriori elementi tali da dimostrare l'inesattezza di altre voci del calcolo dell'USSI, ad eccezione dell'importo della spesa per l’alloggio e della somma degli interessi ipotecari (cfr. consid. 2.12.; 2.13.). Per il periodo dal 1° giugno al 30 novembre 2007, i redditi computabili sono, perciò, costituiti dal reddito della sostanza di fr. 10'571.-- annui (cfr. doc. 79). La sostanza computabile risulta costituita dalle assicurazioni sulla vita suscettibili di riscatto e dal veicolo a motore pari complessivamente, dedotta la quota esente di fr. 22'000.--, a fr. 10'437.-- (cfr. doc. 79). Le spese computabili sono, invece, composte dal premio della cassa malati pari alla quota cantonale media ponderata per il 2007 di fr. 8’960.-- (cfr. consid. 2.14.), dalla spesa per l’alloggio di fr. 9'188.-- (cfr. consid. 2.12.), dalle spese di manutenzione di fr. 2'643 (cfr. consid. 2.13.), dagli interessi ipotecari di fr. 4'702.-- (cfr. consid. 2.13.) e dei contributi della previdenza professionale di fr. 34.-- (cfr. doc. 79). Esse, globalmente, corrispondono a fr. 25’527.-- all’anno. Di conseguenza l’insorgente non presenta alcun reddito disponibile residuale (cfr. art. 5 Laps; consid. 2.5.). Il disavanzo ammonta, al contrario, a fr. 4’519.-- annui (redditi computabili di fr. 10’571.-- + sostanza computabile di fr. 10'437.-- – spese computabili di fr. 25’527.--), corrispondente a fr. 376.60 al mese. La soglia di intervento per il 2007 del ricorrente è pari a fr. 2’092.-- al mese (cfr. art. 19 Las; consid. 2.4.). Come indicato sopra, hanno diritto alla prestazione assistenziale ordinaria coloro il cui reddito disponibile residuale, sommato alle prestazioni sociali di complemento effettivamente percepite sulla base della Laps, non raggiunge la soglia di intervento (cfr. art. 18 Las; consid. 2.4.). In casu, come visto, non vi è alcun reddito disponibile residuale, bensì un disavanzo di fr. 376.60 al mese. I sussidi della cassa malati per il 2007 ammontano dal canto loro a fr. 618.-- mensili (cfr. doc. 79; C/2). La lacuna di reddito Las mensile è pertanto pari a fr. 1'851.-- [(fr. 2’092.-- + fr. 376.60.--) - fr. 618.--]. Il ricorrente ha, dunque, diritto, per il periodo dal mese di giugno al mese di novembre 2007, a una prestazione assistenziale di fr. 1’851.--. 2.16.   Seppure parzialmente vincente in causa a RI 1, rappresentato dal signor RA 1, non vengono assegnate ripetibili. Infatti, secondo la giurisprudenza federale, vengono attribuite la ripetibili soltanto se il patrocinio è assunto da una persona particolarmente qualificata per la questione giuridica considerata, purché non si debba ritenere che il patrocinatore abbia agito a titolo gratuito ( cfr. STFA del 13 gennaio 2000 nella causa K., U 284/99, consid. 6; DTF 126 V 11; RDAT II-1993, N. 67; RCC 1992 pag. 433 consid. 2a; RCC 1985 pag. 411 consid. 4; DTF 108 V 271 = RCC 1983 p. 329; RCC 1992 pag. 433 consid. 2a, RCC 1985 pag. 411 consid. 4, DTF 108 V 271 = RCC 1983 pag. 329; STCA dell’11 luglio 2005 nella causa V., 38.2004.86; STCA del 21 febbraio 2006 nella causa S., 36.2005.225). In particolare, per un caso riguardante il medesimo rappresentante, cfr. la sentenza 35.2007.19 del 15 marzo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