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42.2006.5 vom 7. Juni 2006</w:t>
      </w:r>
    </w:p>
    <w:p>
      <w:r>
        <w:t>TI Tribunale d'appello, 2006-06-07, IT</w:t>
      </w:r>
    </w:p>
    <w:p>
      <w:r>
        <w:rPr>
          <w:b/>
        </w:rPr>
        <w:t xml:space="preserve">Quelle: </w:t>
      </w:r>
      <w:r>
        <w:t>https://mcp.opencaselaw.ch/entscheid/ti_gerichte_42.2006.5</w:t>
      </w:r>
    </w:p>
    <w:p>
      <w:r>
        <w:t>FR: TI_GERICHTE 42.2006.5 du 7 juin 2006</w:t>
      </w:r>
    </w:p>
    <w:p>
      <w:r>
        <w:t>IT: TI_GERICHTE 42.2006.5 del 7 giugno 2006</w:t>
      </w:r>
    </w:p>
    <w:p>
      <w:pPr>
        <w:pStyle w:val="Heading2"/>
      </w:pPr>
      <w:r>
        <w:t>Regeste</w:t>
      </w:r>
    </w:p>
    <w:p>
      <w:r>
        <w:t>Prestazione assistenziale negata.La richiedente non presenta una lacuna di reddito Las.Calcolo secondo i parametri Las/Laps corretto:vanno computate la rendita AI e PC del convivente padre di suo figlio.Lista esaustiva delle spese computabili.Gratuito patrocinio negato:non rappresentata da avvocato.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gennaio 2006 nella causa A., I 501/05, destinata alla pubblicazione nella Raccolta ufficiale, ha stabilito che il gratuito patrocinio non solo è limitato ad avvocati iscritti in un registro cantonale, ad esclusione di quelli alle dipendenze di un servizio giuridico, per la procedura dinanzi al TFA, bensì anche per quella davanti all’amministrazione.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