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41.2007.2 vom 11. Juni 2008</w:t>
      </w:r>
    </w:p>
    <w:p>
      <w:r>
        <w:t>TI Tribunale d'appello, 2008-06-11, IT</w:t>
      </w:r>
    </w:p>
    <w:p>
      <w:r>
        <w:rPr>
          <w:b/>
        </w:rPr>
        <w:t xml:space="preserve">Quelle: </w:t>
      </w:r>
      <w:r>
        <w:t>https://mcp.opencaselaw.ch/entscheid/ti_gerichte_41.2007.2</w:t>
      </w:r>
    </w:p>
    <w:p>
      <w:r>
        <w:t>FR: TI_GERICHTE 41.2007.2 du 11 juin 2008</w:t>
      </w:r>
    </w:p>
    <w:p>
      <w:r>
        <w:t>IT: TI_GERICHTE 41.2007.2 del 11 giugno 2008</w:t>
      </w:r>
    </w:p>
    <w:p>
      <w:pPr>
        <w:pStyle w:val="Heading2"/>
      </w:pPr>
      <w:r>
        <w:t>Regeste</w:t>
      </w:r>
    </w:p>
    <w:p>
      <w:r>
        <w:t>Contestato è il grado di responsabilità dell'assicurazione militare che, contrariamente a quanto è accaduto, deve essere oggetto di una decisione formale. L'assicurato ha tardivamente contestato la mancante decisione e quindi la delibera è cresciuta in giudicato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% per il segmento L3-L4 (segmento non AM); - 25 % per il segmento L4-L5 (segmento AM); - 25 % per il segmento L5-S1 (segmento non AM)." (Doc. 192) Da qui la limitazione della responsabilità nella misura del 25% fondata su una valutazione medico-assicurativa esauriente, convincente e scevra di contraddizioni. Va al riguardo ricordato che, secondo constante giurisprudenza del TFA, i r apporti allestiti da medici alle dipendenze di un'assicurazione deve essere riconosciuto pieno valore probante, a condizione che essi si rivelino essere concludenti, compiutamente motivati, di per sé scevri di contraddizioni e, infine, non devono sussistere degli indizi che facciano dubitare della loro attendibilità (DTF 125 V 351s).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