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41.1995.9 vom 14. Dezember 1993</w:t>
      </w:r>
    </w:p>
    <w:p>
      <w:r>
        <w:t>TI Tribunale d'appello, 1993-12-14, IT</w:t>
      </w:r>
    </w:p>
    <w:p>
      <w:r>
        <w:rPr>
          <w:b/>
        </w:rPr>
        <w:t xml:space="preserve">Quelle: </w:t>
      </w:r>
      <w:r>
        <w:t>https://mcp.opencaselaw.ch/entscheid/ti_gerichte_41.1995.9</w:t>
      </w:r>
    </w:p>
    <w:p>
      <w:r>
        <w:t>FR: TI_GERICHTE 41.1995.9 du 14 décembre 1993</w:t>
      </w:r>
    </w:p>
    <w:p>
      <w:r>
        <w:t>IT: TI_GERICHTE 41.1995.9 del 14 dicembre 1993</w:t>
      </w:r>
    </w:p>
    <w:p>
      <w:pPr>
        <w:pStyle w:val="Heading2"/>
      </w:pPr>
      <w:r>
        <w:t>Regeste</w:t>
      </w:r>
    </w:p>
    <w:p>
      <w:r>
        <w:t>Sentenza o decisione senza scheda</w:t>
      </w:r>
    </w:p>
    <w:p>
      <w:pPr>
        <w:pStyle w:val="Heading2"/>
      </w:pPr>
      <w:r>
        <w:t>Erwägungen</w:t>
      </w:r>
    </w:p>
    <w:p>
      <w:r>
        <w:rPr>
          <w:b/>
        </w:rPr>
        <w:t>E. 13</w:t>
      </w:r>
    </w:p>
    <w:p>
      <w:r>
        <w:t>LAM il TFA ha avuto modo di stabilire che questa disposizione ha per fine la realizzazione del diritto materiale in quanto dispone che si deve ritornare su una decisione emanata in base ad una situazione di fatto erronea (DTF 115 V 313 consid. 4a/aa, 112 V 371 consid. 2a e sentenze ivi citate; STFA del 30 dicembre 1993 nella causa C.T., non pubblicata). 2.2   Secondo l'art. 20 cpv. 1 LAM (nella versione in vigore fino al 31 dicembre 1993) quando l'assicurato subisce una perdita di guadagno come conseguenza dell'affezione contratta, ha diritto ad un'indennità di malattia. L'art 7 cpv. 1 OAM stabilisce che è considerato guadagno nel senso della legge, l'assieme delle prestazioni dovute all'assicurato quale numerazione per il suo lavoro (guadagno lordo). L'art 8 OAM precisa che la perdita di guadagno corrisponde alla differenza tra il guadagno che l'assicurato avrebbe presumibilmente realizzato durante il periodo in causa, se non ne fosse stato impedito dalla malattia assicurata, e quello che egli ha effettivamente attuato durante questo lasso di tempo. Il medesimo concetto è stato ripreso all'art. 28 cpv. 3 e cpv. 4 della nuova LAM, in vigore dal 1° gennaio 1994. 2.3   Nella precedente decisione del 13 giugno 1988 (cfr. Doc. _) l'UFAM ha attribuito a __________, per il periodo 16 giugno 1985 - 30 giugno 1986, un'indennità giornaliera calcolata sulla base di un guadagno perso di fr. 38'525.- (cfr. consid. 2.2). L'assicurato, che sosteneva allora di avere perso, per motivi di salute, un importo ben superiore (e meglio tra i 70'000 e gli 80'000 franchi, cfr. Doc. _), presenta ora una domanda di revisione, allegando una sentenza del 4 ottobre 1991 della Camera di diritto tributario del Tribunale d'appello in cui è stato stabilito che, nel periodo 1985-1986, l'assicurato ha pure conseguito un reddito da commercio professionale di immobili di fr. 71'000.- di media annua per l'IC e di fr. 78'750.- per l'IFD. Questo reddito è andato ad aggiungersi ai 30'000 franchi già esposti per l'attività quale esercente, per cui sulla notifica di tassazione 1987-88 figura un reddito aziendale di fr. 101'500.- (cfr. Doc. _). Ora, anche volendo ammettere, che la sentenza in questione costituisca realmente un nuovo mezzo di prova (cfr. al riguardo il consid. 1.1), tale documento non è comunque atto a modificare la precedente decisione cresciuta in giudicato. Infatti il reddito di fr. 71'000.- è stato conseguito proprio nel periodo in cui __________ era inabile al lavoro. Di conseguenza l'affezione alla salute indennizzata dall'assicurazione militare non ha provocato nessuna perdita di guadagno, per quel che concerne il commercio professionale di immobili. In simili condizioni, la richiesta di revisione deve essere respinta, in quanto l'assicurato non è stato in grado di provare che la perdita di guadagno da lui subita era superiore a fr. 38'525.-.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