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41.1995.12 vom 25. März 1994</w:t>
      </w:r>
    </w:p>
    <w:p>
      <w:r>
        <w:t>TI Tribunale d'appello, 1994-03-25, IT</w:t>
      </w:r>
    </w:p>
    <w:p>
      <w:r>
        <w:rPr>
          <w:b/>
        </w:rPr>
        <w:t xml:space="preserve">Quelle: </w:t>
      </w:r>
      <w:r>
        <w:t>https://mcp.opencaselaw.ch/entscheid/ti_gerichte_41.1995.12</w:t>
      </w:r>
    </w:p>
    <w:p>
      <w:r>
        <w:t>FR: TI_GERICHTE 41.1995.12 du 25 mars 1994</w:t>
      </w:r>
    </w:p>
    <w:p>
      <w:r>
        <w:t>IT: TI_GERICHTE 41.1995.12 del 25 marzo 1994</w:t>
      </w:r>
    </w:p>
    <w:p>
      <w:pPr>
        <w:pStyle w:val="Heading2"/>
      </w:pPr>
      <w:r>
        <w:t>Regeste</w:t>
      </w:r>
    </w:p>
    <w:p>
      <w:r>
        <w:t>Sentenza o decisione senza scheda</w:t>
      </w:r>
    </w:p>
    <w:p>
      <w:pPr>
        <w:pStyle w:val="Heading2"/>
      </w:pPr>
      <w:r>
        <w:t>Erwägungen</w:t>
      </w:r>
    </w:p>
    <w:p>
      <w:r>
        <w:rPr>
          <w:b/>
        </w:rPr>
        <w:t>E. 49</w:t>
      </w:r>
    </w:p>
    <w:p>
      <w:r>
        <w:t>cpv. 4 LAM, "il Consiglio federale fissa, mediante ordinanza, l'importo annuo che serve da base per il calcolo di tute le rendite per menomazione dell'integrità. Parte dall'importo valido all'entrata in vigore della presente legge e lo adegua periodicamente al mutare delle condizioni, segnatamente all'evoluzione dei prezzi." L'art. 50 LAM ("revisione") stabilisce che "nel caso di un successivo rilevante aumento della menomazione dell'integrità, l'assicurato può domandare una rendita suppletiva per menomazione dell'integrità". L'art. 25 cpv. 1 OAM precisa che "vi è una rilevante menomazione dell'integrità fisica e psichica ai sensi dell'art. 48 cpv. 1 della legge qualora essa corrisponda almeno a un ventesimo della perdita totale di una funzione vitale quale l'udito o la vista". Secondo l'art. 25 cpv. 2 OAM "l'importo minimo per una rendita per menomazione dell'integrità ammonta al 2,5 per cento dell'importo annuo che serve da base per il calcolo delle rendite giusta l'art. 49 cpv. 4 della legge. Le rendite per menomazione dell'integrità assegnate in caso di menomazioni di singole funzioni vitali sono fissate secondo la gravità della menomazione dell'integrità, in graduazioni di 2,5 per cento tra il 2,5 e il 50 per cento dell'importo annuo che serve da base per il calcolo delle rendite". L'art 25 cpv. 2 OAM precisa poi che "in caso di menomazioni multiple dell'integrità, gli importi percentuali delle singole menomazioni dell'integrità sono cumulati per determinare la rendita per menomazione dell'integrità. Il valore massimo di una rendita per menomazione dell'integrità ammonta al 100 per cento dell'importo annuo che serve da base per il calcolo". Secondo l'art. 26 cpv. 1 OAM "l'importo annuo che serve da base per il calcolo delle rendite per menomazione dell'integrità ammonta a 28'867 franchi. La rendita annua risulta dall'importo annuo che serve da base per il calcolo delle rendite, dalla percentuale della menomazione dell'integrità e dalla percentuale della responsabilità della Confederazione". L'adeguamento dell'importo annuo che serve da base per il calcolo delle rendite per menomazione dell'integrità secondo l'art. 49 cpv. 4 della legge avviene ogni volta simultaneamente all'adeguamento delle rendite secondo l'art. 43 della legge (art. 26 cpv. 2 OAM). L'art. 27 cpv. 1 OAM stabilisce che "il valore attuale della rendita viene calcolato fondandosi sull'importo annuo che serve da base per il calcolo delle rendite, applicato al momento dell'emanazione della decisione. Se una rendita è concessa retroattivamente, le quote mensili della rendita devono esser pagate successivamente". 2.2   Secondo l'art. 64 LAM le prestazioni dell'assicurazione militare sono ridotte adeguatamente, se l'affezione assicurata è computabile solo parzialmente agli infortuni subiti durante il servizio. 2.3   Secondo i principi sviluppati dalla costante giurisprudenza del TFA relativi al vecchio art. 25 LAM, un danno all'integrità da diritto ad una rendita dell'AM qualora l'assicurato sia oggettivamente limitato in modo rilevante (erheblich) nel godimento della vita (DTF 113 V 143; DTF 112 V 380; DTF 112 V 389; DTF 110 V 120). La menomazione deve, cioè, avere carattere durevole (P.Y. Greber, Le droit suisse de la sécurité sociale, 1982, p. 547) ed essere di una certa importanza. Il carattere rilevante della menomazione va poi valutato non nel senso quantitativo, bensì qualitativo (Schatz, FJS 882). Una menomazione dell'integrità corporale giustifica di regola il riconoscimento di una rendita dell'assicurazione militare quando da un punto di vista oggettivo comporta per l'assicurato un pregiudizio considerevole nella qualità della vita. Sono considerati pregiudizi giuridicamente considerevoli ai sensi di questa definizione i disturbi delle funzioni primarie della vita. E' in forza di queste considerazioni che quali danni giuridicamente rilevanti sono considerate unicamente le mutilazioni, gli sfiguramenti o i continui dolori acuti e lancinanti, come pure ogni altro disturbo delle funzioni vitali primarie, ad esclusione dei semplici impedimenti negli altri settori della vita, come ad esempio la pratica di uno sport, la partecipazione a manifestazioni della vita sociale e altre attività simili (DTF 110 V 120). La determinazione della rendita ex art. 25 deve basarsi, indipendentemente da considerazioni sulla capacità lavorativa, sul pregiudizio corporale come tale, che va valutato in percentuale, sulla base di raffronti dello stato funzionale ed anatomico prima e dopo l'evento pregiudizievole per la salute, tenuto conto del grado di assuefazione dell'assicurato (DTF 96 V 112; DTF 112 V 390; DTF 113 V 143; DTF 117 V 76; STFA del 26 agosto 1992 nella causa I.P, non pubblicata). Tale determinazione avviene in primo luogo attuando un paragone con i casi precedentemente trattati, così da assicurare una certa uguaglianza di trattamento. E in quest'ambito, il TFA ha avuto modo di giudicare utili le apposite tabelle allestite dall'UFAM (STFA - non pubblicata - del 18.10.1983 nella causa  Molliet). Il tenore stesso dell'art. 25 cpv. 1 vieta, però, una valutazione puramente astratta ed egualitaria. Il criterio oggettivo deve quindi essere ponderato con una valutazione dell'aspetto soggettivo (con riferimento all'età, alla professione, ...) in modo che in ogni singolo caso si possa determinare in che misura l'assicurato, in seguito al pregiudizio delle proprie funzioni vitali primarie, sia stato limitato nel godimento della vita. Non è, dunque, la menomazione oggettiva in sé che va indennizzata, quanto le ripercussioni che questa ha per l'assicurato. 2.4   In una sentenza del 7 marzo 1987 nella causa B. pubblicata in DTF 113 V 140, il Tribunale federale delle assicurazioni ha stabilito che la determinazione percentuale o in gradi della menomazione dell'integrità non può essere basata direttamente né per analogia sui tassi indicati nell'allegato 3 dell'OAINF (cfr. consid. 2c e 3). In questa sentenza di principio, successivamente confermata in una sentenza dell'11 gennaio 1991 nella causa X pubblicata in DTF 117 V 71 (consid. 3c/cc), la nostra Massima istanza ha in particolare sviluppato le seguenti considerazioni: " Hiergegen wendet der Versicherte in der Verwaltungsgerichtsbeschwerde ein, das Eidg. Versicherungsgericht postuliere die Einheitlichkeit des Invaliditätsbegriffes in der obligatorischen Unfall-, der Militär- und der Invalidenversicherung (BGE 109 V 23 Erw. 2a). In «konsequenter Weiterentwicklung dieses Gedankens» müsse auch die Einheitlichkeit in der Integritätsschadenbemessung in der obligatorischen Unfallversicherung und der Militärversicherung postuliert werden. Es leuchte nicht ein, dass die Prozentsätze gemäss Anhang 3 zur UVV nicht auch für den Bereich er Militärversicherung herangezogen werden könnten. Aus der Einheitlichkeit des Invaliditätsbegriffes gemäss der vom Versicherten erwähnten Rechtsprechung folgt indes keineswegs, dass der Integritätsschaden in der Militärversicherung und der Unfallversicherung nach den gleichen Regeln zu bemessen ist. Es trifft wohl zu, dass die Schätzung der Invalidität bei Erwerbstätigen in der Invalidenversicherung, der obligatorischen Unfallversicherung und der Militärversicherung mit Bezug auf den gleichen Gesundheitsschaden praxisgemäss grundsätzlich den gleichen Invaliditätsgrad zu ergeben hat (BGE 109 V 23 f., 106 V 88 Erw. 2b). Das resultiert indes daraus, dass der Invaliditätsgrad in diesen Versicherungszweigen nach der gleichen Methode (Einkommensvergleich) und auf der Grundlage des gleichen massgebenden Sachverhalts zu bestimmen ist. Demgegenüber bestehen jedoch in der obligatorischen Unfallversicherung und der Militärversicherung für die Bemessung eines Integritätsschadens unterschiedliche Methoden, die mit Bezug auf die gleiche Integritätseinbusse nicht zwingend zur gleichen Festsetzung des Schadens in Prozenten oder Graden führen. Für die Unfallversicherung hat der Bundesrat im Anhang 3 zur UVV das Mass der Integritätseinbusse bei wichtigen und typischen Schäden prozentual festgelegt und aufgelistet; der Grad des Integritätsverlusts bei speziellen oder nicht aufgeführten Schäden ist nach der Schwere aus einer verwandten oder vergleichbaren Position der Skala der Integritätsschäden abzuleiten (siehe Ziff. 1 Abs. 2 Anhang 3 UVV; MAURER, Schweizerisches Unfallversicherungsrecht, S. 421 lit. 2c). Die gradmässige Bewertung eines Integritätsschadens ist mithin in der Unfallversicherung für den konkreten Fall positivrechtlich im wesentlichen vorgezeichnet. Zudem wird die Integritätseinbusse abstrakt und egalitär bemessen indem bei gleichem medizinischem Befund der Integritätsschaden für alle Versicherten gleich festgesetzt wird (GILG/ZOLLINGER, Die Integritätsentschädigung nach dem Bundesgesetz über die Unfallversicherung, S. 38 und 46; MAURER, a.a.O., S. 417). In der Militärversicherung ist ein Integritätsschaden gemäss Art. 25 Abs. 1 MVG dagegen «in Würdigung aller Umstände nach billigem Ermessen» festzusetzen. Damit verfügt die Militärversicherung bei der Schätzung eines Integritätsschadens über einen weit grösseren Spielraum als die Unfallversicherung und kann die Einbusse individueller bemessen, indem sie beispielsweise das Alter oder besondere persönliche Umstände des Versicherten berücksichtigen kann. Hierbei sind die Richtwerte gemäss Anhang 3 zur UVV grundsätzlich auch nicht analogieweise anwendbar, weil diese über die Unfallversicherung hinaus keine allgemeingültige gradmässige Bewertung der erfassten Schäden darstellen. Die betreffenden Prozentzahlen sind nicht als voraussetzungloser Ausdruck ausschliesslich medizinisch begründeter Abstufungen zu betrachten, sondern können nur im Zusammenhang mit der Beschränkung der Leistungen auf den Höchstbetrag des versicherten Jahresverdienstes und die Ausrichtung der Entschädigugng in Form einer Kapitalabfindung (Art. 25 Abs. 1 UVG) richtig verstanden und gewichtet werden. Sind die Prozentsätze gemäss Anhang 3 zur UVV durch Leistungsansatz und Entschädigungsform mitbestimmt, so kann ihnen für die Militärversicherung keine präjudizielle Wirkung zuerkannt werden. Beizufügen bleibt, dass Verwaltung und Vorinstanz die Integritätseinbusse des Versicherten nach den für die Militärversicherung gültigen Regeln mit 65% in einer Weise bemessen haben, die nicht zu beanstanden ist." (cfr. DTF 113 V 143-145) Il Tribunale federale delle assicurazioni ha dunque sottolineato  che nel settore dell'assicurazione contro gli infortuni il legislatore ha già prestabilito quale valutazione dare ad una determinata menomazione ed, inoltre, ha prescritto che la gravità della menomazione deve essere valutata astrattamente e in modo ugualitario. Invece, in materia di assicurazione militare, il grado di menomazione rilevante è determinato "equamente tenendo conto di tutte le circostanze", ragion per cui il margine di apprezzamento degli organi dell'assicurazione militare è molto più esteso rispetto a quelli dell'assicurazione contro gli infortuni. L'assicurazione militare può in particolare valutare la gravità della menomazione tenendo conto delle caratteristiche individuali dell'assicurato da indennizzare. 2.5   Nella fattispecie, in data 29 aprile 1993 il medico di circondario dell'assicurazione militare, dottor _________, ha posto la diagnosi di "postumi di meniscectomia laterale al ginocchio destro, pangonartrosi al ginocchio destro" (cfr. Doc. _). In data 2 luglio 1993, lo stesso medico ha precisato che "il danno militare al ginocchio destro va dal 30 al 50% al massimo" (cfr. Doc. _). In uno scritto dell'11 agosto 1993 il dottor __________, medico in capo dell'UFAM, si è espresso a favore di una rendita per menomazione dell'integrità del 5%, rilevando: " Bei der Untersuchung fand sich am rechten Knie ein leichter Gelenkserguss bei einem stabilen, normal beweglichen Kniegelenk. Quadrizepsatrophie rechts. Behindert ist der Patient im schnellen Laufen (BH 44), in Knien (BH 55) und im Aufrechterhalten von Kniestellungen (BH 71.0). Die Behinderungen stellen ein erhebliche Beeinträchtigung der physischen Mobilität dar. Nach der Praxis der Militärversicherung wird beim Verlust eines Beines oberhalb des Kniegelenkes in der Regel ein Integritätsschaden von 25%, bei Verlust des Beines im Kniegelenk in der Regel ein Integritätsschaden von 20% und bei Versteifung des Kniegelenkes in physiologisch guter Stellung in der Regel ein Integritätsschaden von 10% angenommen. Die mittelschwere Pangonarthrose bei guter Stabilität und Beweglichkeit gibt in der Regel Anspruch auf eine Integritätsschadenrente von 5% (L.B. 35.800, Sch.B. 36.353). Unter Würdigung der mittelschweren Pangonarthrose rechts, der mässigen Beschwerden und der damit verbunden erheblichen Benachteiligung der physischen Mobilität in der allgemeinen Lebensgestaltung bemisst sich der Integritätsschaden des Patienten im Vergleich zum Versicherungsfall W.B. 36.395 mit 5%. Beurteilung: Unter Würdigung aller Umstände und nach der Beurteilungspraxis der Militärversicherung beträgt der Integritätsschaden des Patienten aufgrund der mittelschweren Pangonarthrose rechts 5% ." (Doc. _) Questa valutazione è stata confermata il 21 gennaio 1994 (cfr. Doc. _). Chiamato ora a pronunciarsi, il TCA non può che confermare la rendita del 5% per il danno alla salute al ginocchio destro patito dall'assicurato. Questa valutazione è infatti il risultato del paragone con altri casi simili, ciò che corrisponde ai criteri ammessi dal TFA (cfr. consid. 2.3). Non decisivo in concreto è inoltre il fatto che l'__________ abbia ritenuto adeguato il 15% quale grado per la menomazione dell'integrità (cfr. Doc. _ pag. 4). Infatti, come dettagliatamente esposto al consid. 2.4, il Tribunale federale delle assicurazioni non considera applicabili in questo contesto le disposizioni dell'assicurazione contro gli infortuni, né direttamente né per analogia. Infine anche la riduzione della responsabilità della Confederazione del 50%, sulla base dell'art. 64 LAM (cfr. consid. 2.2), appare in concreto adeguata, soprattutto dopo che l'__________ ha modificato la propria decisione (cfr. consid. 1.3 e Doc. 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