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40.2014.5 vom 2. Juli 2015</w:t>
      </w:r>
    </w:p>
    <w:p>
      <w:r>
        <w:t>TI Tribunale d'appello, 2015-07-02, IT</w:t>
      </w:r>
    </w:p>
    <w:p>
      <w:r>
        <w:rPr>
          <w:b/>
        </w:rPr>
        <w:t xml:space="preserve">Quelle: </w:t>
      </w:r>
      <w:r>
        <w:t>https://mcp.opencaselaw.ch/entscheid/ti_gerichte_40.2014.5</w:t>
      </w:r>
    </w:p>
    <w:p>
      <w:r>
        <w:t>FR: TI_GERICHTE 40.2014.5 du 2 juillet 2015</w:t>
      </w:r>
    </w:p>
    <w:p>
      <w:r>
        <w:t>IT: TI_GERICHTE 40.2014.5 del 2 luglio 2015</w:t>
      </w:r>
    </w:p>
    <w:p>
      <w:pPr>
        <w:pStyle w:val="Heading2"/>
      </w:pPr>
      <w:r>
        <w:t>Erwägungen</w:t>
      </w:r>
    </w:p>
    <w:p>
      <w:r>
        <w:rPr>
          <w:b/>
        </w:rPr>
        <w:t>E. 7</w:t>
      </w:r>
    </w:p>
    <w:p>
      <w:r>
        <w:t>7.1.     Alla luce delle risultanze della documentazione fotografica prodotta (cfr. p.to n. 4), fatta eccezione per il correttivo di classe del -40% applicato al valore delledificio principale e per il calcolo del valore di reddito, che conducono a considerazioni differenti come si vedrà in seguito, non occorre disquisire molto per ritenere le valutazioni esposte dallUCS equilibrate, opportune e rispettose delle normative che regolano lestimo degli immobili.Ledificio appare in buono stato, ben tenuto e svolge in modo appropriato la sua funzione di rustico di montagna - __________ è posizionata in __________, sulle pendici del __________, a 1779 m s.l.m. - innegabilmente con tutti i disagi che questo comporta (mancanza di acqua potabile allinterno delledificio, di servizi igienici, di elettricità ecc.). Nello stato di fatto in cui si trova oggi limmobile ogni persona amante della montagna (alpinista, escursionista ecc.) riterrebbe corretto il prezzo (e forsanche di più) per poter godere di un comunque accogliente rifugio in quota ed evitare così lunghi, faticosi ed obbligati spostamenti a piedi dal piano.Ma non è tutto. Gli apprezzamenti fatti dallautorità di prima sede sono anche avvalorati dallofferta di assicurazione sullo stabile 12 gennaio 2015 della compagnia dassicurazioni __________, prodotta dal ricorrente, che prevede somme dassicurazione ben superiori (fr. 100'000. per incendio e danni della natura, oltre ad ulteriori importi a valere quali coperture complementari) a quanto stabilito dallUCS.</w:t>
      </w:r>
    </w:p>
    <w:p>
      <w:r>
        <w:t>7.2.     Ancorchè ininfluente ai fini del valore di stima globale, discorso diverso deve invece essere fatto per il correttivo di classe applicato al valore delledificio principale e per il calcolo del valore di reddito (presunto).</w:t>
      </w:r>
    </w:p>
    <w:p>
      <w:r>
        <w:t>7.2.1     Per quanto concerne il primo, il Tribunale non lo ritiene giustificato perché, oltre a non essere stato convenientemente argomentato dallautorità di prima istanza, non appare nemmeno ancorato nella Lst, che definisce il valore metrico di un fabbricato come il valore a nuovo della costruzione e dei costi accessori, deprezzato a dipendenza della vetustà secondo i criteri definiti dal regolamento (art. 17 cpv. 2 Lst) e prevede dei correttivi unicamente sul valore di reddito (art. 18 cpv. 2 Lst in unione con la nota marginale dellart. 10 del Regolamento sulla stima ufficiale). Di conseguenza il correttivo deve essere stralciato dufficio siccome comunque e in tutti i casi ingiustificato e non sostanziato.</w:t>
      </w:r>
    </w:p>
    <w:p>
      <w:r>
        <w:t>7.2.2.     In relazione invece al calcolo del valore di reddito (presunto), che lUCS ha fissato in fr. 529.12 annui riportati a 3 mesi, ovvero in fr. 132.25, occorre rilevare che nella sentenza 14 agosto 2006, riguardante un altro rustico di proprietà del qui ricorrente situato nella medesima regione, il Tribunale di espropriazione ha già avuto modo di ritenere chele caratteristiche costruttive del rustico, la mancanza delle più elementari infrastrutture quali per esempio lapprovvigionamento di acqua potabile e i servizi igienici, nonché il fatto che la località è raggiungibile unicamente tramite un sentiero in ca. 2 ore e 30 minuti di cammino, il valore di reddito deve essere riportato su un periodo di tempo massimo di un mese.Orbene, in presenza di analoga fattispecie, non si vede come questa autorità possa discostarsi da quanto stabilito allora. Anzi, a maggior ragione, questa considerazione deve trovare conferma, se solo si pensa che il rustico dell__________ è molto più distante dal piano e per raggiungerlo occorre un tempo di percorrenza a piedi di molto superiore (circa 4 ore). Di conseguenza e limitatamente a questo argomento il ricorso deve quindi essere accolto.</w:t>
      </w:r>
    </w:p>
    <w:p>
      <w:r>
        <w:t>8.     Di conseguenza il ricorso è parzialmente accolto e il valore ufficiale di stima del mapp. no. 1821 RFD di __________ è stabilito e confermato in fr. 3'002.--, come da scheda di calcolo annessa e parte integrante del presente giudizio.</w:t>
      </w:r>
    </w:p>
    <w:p>
      <w:r>
        <w:t>9.     La tassa di giustizia di fr. 350.e le spese di fr. 50.-- sono poste a carico delle parti in ragione della rispettiva soccombenza, ovvero di 3/4 a carico del ricorrente e di 1/4 a carico dellUCS, che è peraltro tenuto a versare al ricorrente una adeguata indennità per ripetibili.</w:t>
      </w:r>
    </w:p>
    <w:p>
      <w:r>
        <w:t>10.     Le ripetibili servono a risarcire le spese oggettivamente indispensabili che le parti hanno sostenuto per tutelare convenientemente i loro interessi. Le stesse vanno commisurate allassistenza prestata dal legale per adempiere il suo mandato, ovvero tenendo conto della diligenza dimostrata e del tempo impiegato come pure della durata e delle difficoltà della causa (RDAT I-1992 no. 62; RDAT II-1994 no. 66; TRAM 50.2009.9 del 13.1.2012). Le ripetibili sono ripartite a dipendenza dellesito e del grado di soccombenza delle parti (art. 28 e 31 Lpamm; RDAT I-1994 no. 48; TRAM 50.2007.12 del 17.3.2011).Tutto ciò considerato le ripetibili assegnate a RI 1 sono fissate complessivamente in fr. 250.--.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