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40.2014.1 vom 30. April 2004</w:t>
      </w:r>
    </w:p>
    <w:p>
      <w:r>
        <w:t>TI Tribunale d'appello, 2004-04-30, IT</w:t>
      </w:r>
    </w:p>
    <w:p>
      <w:r>
        <w:rPr>
          <w:b/>
        </w:rPr>
        <w:t xml:space="preserve">Quelle: </w:t>
      </w:r>
      <w:r>
        <w:t>https://mcp.opencaselaw.ch/entscheid/ti_gerichte_40.2014.1</w:t>
      </w:r>
    </w:p>
    <w:p>
      <w:r>
        <w:t>FR: TI_GERICHTE 40.2014.1 du 30 avril 2004</w:t>
      </w:r>
    </w:p>
    <w:p>
      <w:r>
        <w:t>IT: TI_GERICHTE 40.2014.1 del 30 aprile 2004</w:t>
      </w:r>
    </w:p>
    <w:p>
      <w:pPr>
        <w:pStyle w:val="Heading2"/>
      </w:pPr>
      <w:r>
        <w:t>Erwägungen</w:t>
      </w:r>
    </w:p>
    <w:p>
      <w:r>
        <w:rPr>
          <w:b/>
        </w:rPr>
        <w:t>E. 3</w:t>
      </w:r>
    </w:p>
    <w:p>
      <w:r>
        <w:t>a edizione, n. 3 e 4 ad art. 736; Steinauer, Les droits réel, vol. II, 4 a edizione, pag. 428 n. 2246), per cui il mancato uso di una servitù non ne determina l’estinzione. Del resto la rinuncia ad esercitare una determinata servitù non connota necessariamente una mancanza d’interesse alla medesima da parte del beneficiario. E’ pur vero che una servitù può estinguersi, oltre che per rinuncia dell’avente diritto, finanche per atti concludenti a condizione che questi siano chiari e univoci (STEINAUER, op.cit., pag. 430 n. 2253). Il fatto di aver spostato più a nord/est la linea elettrica di AT con il relativo traliccio non è però ancora significativo per ritenere accertata una rinuncia alla servitù della società elettrica che, al contrario, potrebbe invece dimostrare un rinnovato interesse alla medesima in un futuro prevedibile. Ne consegue che spetta quindi solo al beneficiario della servitù, rispettivamente al proprietario del fondo serviente intraprendere, se del caso, i passi necessari per una sua radiazione a RF. 5.2.     Il ricorrente contesta inoltre il mancato adeguamento del correttivo di vetustà per l’edificio principale. La questione potrebbe anche rimanere irrisolta qualora questa procedura fosse stata promossa esclusivamente per il mancato esercizio della servitù di cui al punto 5.1.. Ciò non è dato a sapere con certezza e nemmeno risulta dai documenti in atti, che rimandano come già accennato sopra ad una procedura avviata nel quadro di un aggiornamento particolare per “rinnovamento catastale 2012”. Ne consegue che anche questa critica del ricorrente deve essere esaminata. Con riguardo all’art. 8 Lst (aggiornamenti particolari) nel Messaggio 4375 del 21 febbraio 1995 concernente il progetto della nuova Legge sulla stima ufficiale della sostanza immobiliare, il Consiglio di Stato ha avuto modo di precisare che trattasi di aggiornamenti causati da  mutamenti di fatto o di diritto dello stato dei fondi, intervenuti dopo la revisione generale o i successivi aggiornamenti intermedi, come ad esempio nuove costruzioni, riattamenti, ampliamenti, modifiche di P.R. ecc.. L’esecutivo cantonale ha inoltre puntualizzato che la nuova stima sarà eseguita fondandosi sui “fattori d’incidenza generali” (prezzi medi dei terreni, tasso ipotecario, costo medio delle pigioni, costo medio delle costruzioni e costo medio dell’energia per gli impianti di produzione d’energia) vigenti al momento dell’ultima revisione generale o aggiornamento intermedio. Dal canto suo la Commissione speciale in materia tributaria, nel suo rapporto 20 settembre 1996 sul Messaggio e per ciò che concerne l’art. 8, si è limitata ad apportare modifiche redazionali con l’inserimento di rimandi ad altri articoli della legge. Appare quindi evidente che, di per sé stante, l’elemento della vetustà di un edificio non è motivo sufficiente per reclamare dall’autorità di stima l’apertura di una procedura per una nuova valutazione specifica dell’immobile, che si giustifica invece in presenza di edifici nuovi o riattati, rispettivamente di terreni soggetti a modifiche di PR,  successivi all’entrata in vigore delle nuove stime (ultima revisione generale o aggiornamento intermedio). Questo Tribunale ha già avuto modo di stabilire (cfr. inc. 40.2009.3 in re M.C. e M.L.C.) che discorso diverso merita invece di essere fatto quando l’esame della vetustà interviene nel contesto di una procedura per aggiornamento particolare originata da motivazioni che legittimano e giustificano il riesame dell’intero fondo e l’adeguamento del relativo valore di stima da parte dell’UCS, ma che sostanzialmente non hanno portato miglioramento alcuno al tipo di costruzione ed allo stato di conservazione del fabbricato o dei fabbricati che sono rimasti nello stato di fatto precedente. Caso contrario l’UCS avrebbe applicato una correzione (riduzione) del correttivo di vetustà. 6.     Per le considerazioni che precedono il ricorso va dunque accolto e la decisione impugnata annullata. Gli atti sono ritornati all’UCS affinché  proceda a verificare se effettivamente sono adempiuti i requisiti per un aggiornamento particolare della stima del mappale no. 528 RFD di __________ e, in tal caso, per l’emanazione di un nuovo giudizio. 7.     La tassa di giustizia e le spese in fr. 600.-- sono poste a carico del Ufficio cantonale di stima in quanto parte soccombente;</w:t>
      </w:r>
    </w:p>
    <w:p>
      <w:r>
        <w:rPr>
          <w:b/>
        </w:rPr>
        <w:t>E. 21</w:t>
      </w:r>
    </w:p>
    <w:p>
      <w:r>
        <w:t>febbraio 1995 concernente il progetto della nuova Legge sulla stima ufficiale della sostanza immobiliare, il Consiglio di Stato ha avuto modo di precisare che trattasi di aggiornamenti causati da  mutamenti di fatto o di diritto dello stato dei fondi, intervenuti dopo la revisione generale o i successivi aggiornamenti intermedi, come ad esempio nuove costruzioni, riattamenti, ampliamenti, modifiche di P.R. ecc.. Lesecutivo cantonale ha inoltre puntualizzato che la nuova stima sarà eseguita fondandosi sui fattori dincidenza generali (prezzi medi dei terreni, tasso ipotecario, costo medio delle pigioni, costo medio delle costruzioni e costo medio dellenergia per gli impianti di produzione denergia) vigenti al momento dellultima revisione generale o aggiornamento intermedio.</w:t>
      </w:r>
    </w:p>
    <w:p>
      <w:r>
        <w:t>Dal canto suo la Commissione speciale in materia tributaria, nel suo rapporto 20 settembre 1996 sul Messaggio e per ciò che concerne lart. 8, si è limitata ad apportare modifiche redazionali con linserimento di rimandi ad altri articoli della legge.</w:t>
      </w:r>
    </w:p>
    <w:p>
      <w:r>
        <w:t>Appare quindi evidente che, di per sé stante, lelemento della vetustà di un edificio non è motivo sufficiente per reclamare dallautorità di stima lapertura di una procedura per una nuova valutazione specifica dellimmobile, che si giustifica invece in presenza di edifici nuovi o riattati, rispettivamente di terreni soggetti a modifiche di PR,  successivi allentrata in vigore delle nuove stime (ultima revisione generale o aggiornamento intermedio).</w:t>
      </w:r>
    </w:p>
    <w:p>
      <w:r>
        <w:t>Questo Tribunale ha già avuto modo di stabilire (cfr. inc. 40.2009.3 in re M.C. e M.L.C.) che discorso diverso merita invece di essere fatto quando lesame della vetustà interviene nel contesto di una procedura per aggiornamento particolare originata da motivazioni che legittimano e giustificano il riesame dellintero fondo e ladeguamento del relativo valore di stima da parte dellUCS, ma che sostanzialmente non hanno portato miglioramento alcuno al tipo di costruzione ed allo stato di conservazione del fabbricato o dei fabbricati che sono rimasti nello stato di fatto precedente. Caso contrario lUCS avrebbe applicato una correzione (riduzione) del correttivo di vetustà.</w:t>
      </w:r>
    </w:p>
    <w:p>
      <w:r>
        <w:t>6.     Per le considerazioni che precedono il ricorso va dunque accolto e la decisione impugnata annullata. Gli atti sono ritornati allUCS affinché  proceda a verificare se effettivamente sono adempiuti i requisiti per un aggiornamento particolare della stima del mappale no. 528 RFD di __________ e, in tal caso, per lemanazione di un nuovo giudizio.</w:t>
      </w:r>
    </w:p>
    <w:p>
      <w:r>
        <w:t>7.     La tassa di giustizia e le spese in fr. 600.-- sono poste a carico del Ufficio cantonale di stima in quanto parte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