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40.2006.24 vom 31. Oktober 2006</w:t>
      </w:r>
    </w:p>
    <w:p>
      <w:r>
        <w:t>TI Tribunale d'appello, 2006-10-31, IT</w:t>
      </w:r>
    </w:p>
    <w:p>
      <w:r>
        <w:rPr>
          <w:b/>
        </w:rPr>
        <w:t xml:space="preserve">Quelle: </w:t>
      </w:r>
      <w:r>
        <w:t>https://mcp.opencaselaw.ch/entscheid/ti_gerichte_40.2006.24</w:t>
      </w:r>
    </w:p>
    <w:p>
      <w:r>
        <w:t>FR: TI_GERICHTE 40.2006.24 du 31 octobre 2006</w:t>
      </w:r>
    </w:p>
    <w:p>
      <w:r>
        <w:t>IT: TI_GERICHTE 40.2006.24 del 31 ottobre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8.1     Di conseguenza, il ricorso è parzialmente accolto e il valore ufficiale di stima del mapp. n. 2148 RFD di __________ stabilito in CHF 273'012.--, come da scheda di calcolo annessa.</w:t>
      </w:r>
    </w:p>
    <w:p>
      <w:r>
        <w:t>8.2     La tassa di giustizia di CHF 500.è posta a carico dellUCS, parte soccombente (art. 38 cpv. 4 Lst.).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