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40.2006.20 vom 14. Mai 2007</w:t>
      </w:r>
    </w:p>
    <w:p>
      <w:r>
        <w:t>TI Tribunale d'appello, 2007-05-14, IT</w:t>
      </w:r>
    </w:p>
    <w:p>
      <w:r>
        <w:rPr>
          <w:b/>
        </w:rPr>
        <w:t xml:space="preserve">Quelle: </w:t>
      </w:r>
      <w:r>
        <w:t>https://mcp.opencaselaw.ch/entscheid/ti_gerichte_40.2006.20</w:t>
      </w:r>
    </w:p>
    <w:p>
      <w:r>
        <w:t>FR: TI_GERICHTE 40.2006.20 du 14 mai 2007</w:t>
      </w:r>
    </w:p>
    <w:p>
      <w:r>
        <w:t>IT: TI_GERICHTE 40.2006.20 del 14 maggio 2007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8.1.     Di conseguenza, il ricorso è parzialmente accolto e il valore ufficiale di stima del mappale no. 953 RFD di __________ stabilito in CHF 1'554037.--, come da scheda di calcolo annessa.</w:t>
      </w:r>
    </w:p>
    <w:p>
      <w:r>
        <w:t>8.2.     La tassa di giustizia di CHF 600. è posta a carico delle parti in ragione della rispettiva soccombenza, ovvero di 1/2 per lUfficio cantonale di stima e di 1/2 per i ricorrenti.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