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40.2006.12 vom 17. Oktober 2006</w:t>
      </w:r>
    </w:p>
    <w:p>
      <w:r>
        <w:t>TI Tribunale d'appello, 2006-10-17, IT</w:t>
      </w:r>
    </w:p>
    <w:p>
      <w:r>
        <w:rPr>
          <w:b/>
        </w:rPr>
        <w:t xml:space="preserve">Quelle: </w:t>
      </w:r>
      <w:r>
        <w:t>https://mcp.opencaselaw.ch/entscheid/ti_gerichte_40.2006.12</w:t>
      </w:r>
    </w:p>
    <w:p>
      <w:r>
        <w:t>FR: TI_GERICHTE 40.2006.12 du 17 octobre 2006</w:t>
      </w:r>
    </w:p>
    <w:p>
      <w:r>
        <w:t>IT: TI_GERICHTE 40.2006.12 del 17 ottobre 2006</w:t>
      </w:r>
    </w:p>
    <w:p>
      <w:pPr>
        <w:pStyle w:val="Heading2"/>
      </w:pPr>
      <w:r>
        <w:t>Erwägungen</w:t>
      </w:r>
    </w:p>
    <w:p>
      <w:r>
        <w:rPr>
          <w:b/>
        </w:rPr>
        <w:t>E. 6</w:t>
      </w:r>
    </w:p>
    <w:p>
      <w:r>
        <w:t>6.1.     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6.2.     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6.3.     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t>6.4.     Le stime immobiliari, secondo la Lst., seguono criteri di schematicità e di prudenzialità (art. 20 Lst.).</w:t>
      </w:r>
    </w:p>
    <w:p>
      <w:r>
        <w:t>7.     In concreto, il Tribunale, che non è vincolato dalle domande del ricorrente (art. 38 cpv. 3 Lst.) e deve di principio accertare dufficio e in modo completo i fatti determinanti per la causa, accoglie il ricorso.</w:t>
      </w:r>
    </w:p>
    <w:p>
      <w:r>
        <w:t>7.1.     Come accertato in sede di sopralluogo, ledificio principale sub. A si trova sostanzialmente nella sua struttura originale. Alla luce dellanno di edificazione  antecedente il 1919 -, dellampliamento effettuato nel 1951 e del rifacimento di bagni e cucina nel 1983, verificati con il sopralluogo e risultanti anche dalla dichiarazione per la stima ufficiale della sostanza immobiliare (modulo 1, punto 2), il Tribunale ritiene più confacente alla fattispecie concreta considerare un correttivo di vetustà del -49% e non solo del -31% per il sub. A, rispettivamente del -60% per gli edifici accessori.</w:t>
      </w:r>
    </w:p>
    <w:p>
      <w:r>
        <w:t>7.2.     Lestrema vicinanza alla linea ferroviaria dellasse del San Gottardo, causa di forti rumori e vibrazioni, deve inoltre essere correttamente considerata, ciò che permette a questo Tribunale di ridurre il valore metrico del terreno di un ulteriore 20% per carico ambientale. In sostanza il correttivo viene aumentato dal -10% al -30% con la conseguente riduzione del valore metrico del terreno da CHF 378.--/mq a CHF 294.--/mq..</w:t>
      </w:r>
    </w:p>
    <w:p>
      <w:r>
        <w:t>7.3.     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accolto e il valore ufficiale di stima del mapp. no. 1240 RFD di __________ stabilito in CHF 283'766.--, come da scheda di calcolo annessa.</w:t>
      </w:r>
    </w:p>
    <w:p>
      <w:r>
        <w:rPr>
          <w:b/>
        </w:rPr>
        <w:t>E. 8.2</w:t>
      </w:r>
    </w:p>
    <w:p>
      <w:r>
        <w:t>La tassa di giustizia, di CHF 500.-, è posta a carico dellUCS,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