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40.2005.90 vom 3. Januar 2006</w:t>
      </w:r>
    </w:p>
    <w:p>
      <w:r>
        <w:t>TI Tribunale d'appello, 2006-01-03, IT</w:t>
      </w:r>
    </w:p>
    <w:p>
      <w:r>
        <w:rPr>
          <w:b/>
        </w:rPr>
        <w:t xml:space="preserve">Quelle: </w:t>
      </w:r>
      <w:r>
        <w:t>https://mcp.opencaselaw.ch/entscheid/ti_gerichte_40.2005.90</w:t>
      </w:r>
    </w:p>
    <w:p>
      <w:r>
        <w:t>FR: TI_GERICHTE 40.2005.90 du 3 janvier 2006</w:t>
      </w:r>
    </w:p>
    <w:p>
      <w:r>
        <w:t>IT: TI_GERICHTE 40.2005.90 del 3 gennaio 2006</w:t>
      </w:r>
    </w:p>
    <w:p>
      <w:pPr>
        <w:pStyle w:val="Heading2"/>
      </w:pPr>
      <w:r>
        <w:t>Erwägungen</w:t>
      </w:r>
    </w:p>
    <w:p>
      <w:r>
        <w:rPr>
          <w:b/>
        </w:rPr>
        <w:t>E. 6.1</w:t>
      </w:r>
    </w:p>
    <w:p>
      <w:r>
        <w:t>I fondi edificati sono valutati come ununità economica comprendente i fabbricati e il relativo terreno annesso (art. 15 cpv. 2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t>Il valore metrico del terreno risulta dal confronto dei prezzi medi di oggetti analoghi in zone paragonabili (art. 17 cpv. Lst.). Il valore metrico del fondo edificato comprende invece il valore del fabbricato più il valore del terreno. Questultimo può essere ridotto a dipendenza della razionalità del suo sfruttamento (art. 17 cpv. 3 Lst.).</w:t>
      </w:r>
    </w:p>
    <w:p>
      <w:r>
        <w:rPr>
          <w:b/>
        </w:rPr>
        <w:t>E. 6.2</w:t>
      </w:r>
    </w:p>
    <w:p>
      <w:r>
        <w:t>Le stime immobiliari, secondo la Lst., seguono criteri di schematicità e di prudenzialità (art. 20 Lst.).</w:t>
      </w:r>
    </w:p>
    <w:p>
      <w:r>
        <w:rPr>
          <w:b/>
        </w:rPr>
        <w:t>E. 7.1</w:t>
      </w:r>
    </w:p>
    <w:p>
      <w:r>
        <w:t>Alla luce delle risultanze il Tribunale accoglie il ricorso applicando un correttivo del -15% sul valore metrico del terreno eccedente a causa della sua configurazione irregolare, in particolare per la presenza sul lato nord di uno stretto corridoio adiacente la costruzione; ciò che impedisce uno sfruttamento razionale delle sue potenzialità edificatorie e pone importanti limiti in caso edificazione.</w:t>
      </w:r>
    </w:p>
    <w:p>
      <w:r>
        <w:rPr>
          <w:b/>
        </w:rPr>
        <w:t>E. 7.2</w:t>
      </w:r>
    </w:p>
    <w:p>
      <w:r>
        <w:t>Per il resto, ritenuto che laccesso è garantito sia da nord sia da sud-est, dove è iscritto a registro fondiario un diritto di passo con ogni veicolo a carico delle part. nr. 3193 e 3194, le valutazioni effettuate dallUCS non prestano il fianco ad alcuna critica, sono ossequiose dei canoni di estimo sanciti dalla Lst. e riflettono in modo prudenziale il prezzo normalmente conseguibile per un oggetto analogo in una libera contrattazione. Le particolarità della zona sono infatti già state equamente considerate con lapplicazione di un correttivo del -10% per carico ambientale sul valore base di zona di CHF/mq 210.-, daltronde già di per sé decisamente prudenziale.</w:t>
      </w:r>
    </w:p>
    <w:p>
      <w:r>
        <w:rPr>
          <w:b/>
        </w:rPr>
        <w:t>E. 8.1</w:t>
      </w:r>
    </w:p>
    <w:p>
      <w:r>
        <w:t>Di conseguenza, il ricorso è accolto e il valore ufficiale di stima del mappale no. 4233 RFD di __________ stabilito in CHF 344'359.-, come da scheda di calcolo annessa.</w:t>
      </w:r>
    </w:p>
    <w:p>
      <w:r>
        <w:rPr>
          <w:b/>
        </w:rPr>
        <w:t>E. 8.2</w:t>
      </w:r>
    </w:p>
    <w:p>
      <w:r>
        <w:t>La tassa di giustizia, di CHF 500.-, è posta a carico dellUCS, parte soccombente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