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40.2005.65 vom 29. August 2006</w:t>
      </w:r>
    </w:p>
    <w:p>
      <w:r>
        <w:t>TI Tribunale d'appello, 2006-08-29, IT</w:t>
      </w:r>
    </w:p>
    <w:p>
      <w:r>
        <w:rPr>
          <w:b/>
        </w:rPr>
        <w:t xml:space="preserve">Quelle: </w:t>
      </w:r>
      <w:r>
        <w:t>https://mcp.opencaselaw.ch/entscheid/ti_gerichte_40.2005.65</w:t>
      </w:r>
    </w:p>
    <w:p>
      <w:r>
        <w:t>FR: TI_GERICHTE 40.2005.65 du 29 août 2006</w:t>
      </w:r>
    </w:p>
    <w:p>
      <w:r>
        <w:t>IT: TI_GERICHTE 40.2005.65 del 29 agosto 2006</w:t>
      </w:r>
    </w:p>
    <w:p>
      <w:pPr>
        <w:pStyle w:val="Heading2"/>
      </w:pPr>
      <w:r>
        <w:t>Erwägungen</w:t>
      </w:r>
    </w:p>
    <w:p>
      <w:r>
        <w:rPr>
          <w:b/>
        </w:rPr>
        <w:t>E. 6.1</w:t>
      </w:r>
    </w:p>
    <w:p>
      <w:r>
        <w:t>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Le stime immobiliari, secondo la Lst., seguono criteri di schematicità e di prudenzialità (art. 20 Lst.).</w:t>
      </w:r>
    </w:p>
    <w:p>
      <w:r>
        <w:t>7.     In concreto, il Tribunale, per il tramite del Municipio di __________, ha chiesto al competente geometra revisore di accertare lentità della superficie edificabile del fondo e, parallelamente, della conseguente superficie non edificabile, che, ritenuto come laccertamento dellarea forestale non è ancora entrato in vigore (cfr. scritto __________ del Municipio di __________), corrispondono rispettivamente a 1'378 mq e a 1'083 mq.</w:t>
      </w:r>
    </w:p>
    <w:p>
      <w:r>
        <w:t>Pertanto, il ricorso è parzialmente accolto nella misura in cui la superficie di terreno edificabile, da computare con il valore metrico base di zona di CHF/mq 240.-, è in realtà di 1'378 mq e non di 1'220 mq, mentre la superficie di terreno rimanente (non edificabile), da computare con il valore di CHF/mq 0.40 sulla base della carta delle idoneità agricole (art. 11 Lst. in relazione con lart. 4 cpv. 1 del Regolamento di applicazione della Lst.) è invece di 1'083 mq e non di 1'241 mq.</w:t>
      </w:r>
    </w:p>
    <w:p>
      <w:r>
        <w:rPr>
          <w:b/>
        </w:rPr>
        <w:t>E. 8.1</w:t>
      </w:r>
    </w:p>
    <w:p>
      <w:r>
        <w:t>Di conseguenza, il ricorso è parzialmente accolto e il valore ufficiale di stima del mapp. no. 503 RFD __________ stabilito in CHF 668'030.-, come da scheda di calcolo annessa.</w:t>
      </w:r>
    </w:p>
    <w:p>
      <w:r>
        <w:rPr>
          <w:b/>
        </w:rPr>
        <w:t>E. 8.2</w:t>
      </w:r>
    </w:p>
    <w:p>
      <w:r>
        <w:t>La tassa di giustizia, di CHF 500.- e le spese, di CHF 1'014.15, sono poste a carico delle parti in ragione della rispettiva soccombenza, di 5/6 per il ricorrente e del rimanente 1/6 per lUCS.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