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40.2005.52 vom 4. Oktober 2005</w:t>
      </w:r>
    </w:p>
    <w:p>
      <w:r>
        <w:t>TI Tribunale d'appello, 2005-10-04, IT</w:t>
      </w:r>
    </w:p>
    <w:p>
      <w:r>
        <w:rPr>
          <w:b/>
        </w:rPr>
        <w:t xml:space="preserve">Quelle: </w:t>
      </w:r>
      <w:r>
        <w:t>https://mcp.opencaselaw.ch/entscheid/ti_gerichte_40.2005.52</w:t>
      </w:r>
    </w:p>
    <w:p>
      <w:r>
        <w:t>FR: TI_GERICHTE 40.2005.52 du 4 octobre 2005</w:t>
      </w:r>
    </w:p>
    <w:p>
      <w:r>
        <w:t>IT: TI_GERICHTE 40.2005.52 del 4 ottobre 2005</w:t>
      </w:r>
    </w:p>
    <w:p>
      <w:pPr>
        <w:pStyle w:val="Heading2"/>
      </w:pPr>
      <w:r>
        <w:t>Volltext</w:t>
      </w:r>
    </w:p>
    <w:p>
      <w:r>
        <w:t>Incarto n.40.2005.52</w:t>
      </w:r>
    </w:p>
    <w:p>
      <w:r>
        <w:t>__________</w:t>
      </w:r>
    </w:p>
    <w:p>
      <w:r>
        <w:t>Lugano</w:t>
      </w:r>
    </w:p>
    <w:p>
      <w:r>
        <w:t>4 ottobre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arch. Claudio Morandi</w:t>
      </w:r>
    </w:p>
    <w:p>
      <w:r>
        <w:t>segretario giurista</w:t>
      </w:r>
    </w:p>
    <w:p>
      <w:r>
        <w:t>Alan Gianinazzi</w:t>
      </w:r>
    </w:p>
    <w:p>
      <w:r>
        <w:t>statuendo sul ricorso presentato in data 26/27 aprile 2005 da</w:t>
      </w:r>
    </w:p>
    <w:p>
      <w:r>
        <w:t>1. RI 1,</w:t>
      </w:r>
    </w:p>
    <w:p>
      <w:r>
        <w:t>2. RI 2,</w:t>
      </w:r>
    </w:p>
    <w:p>
      <w:r>
        <w:t>tutti rappr. da RA 1,</w:t>
      </w:r>
    </w:p>
    <w:p>
      <w:r>
        <w:t>contro</w:t>
      </w:r>
    </w:p>
    <w:p>
      <w:r>
        <w:t>la decisione su reclamo emessa il 5 aprile 2005 dall'Ufficio cantonale di stima nellambito della revisione generale delle stime immobiliari nel Comune di __________,</w:t>
      </w:r>
    </w:p>
    <w:p>
      <w:r>
        <w:t>relativamente al mappale no. 237 RFD di __________,</w:t>
      </w:r>
    </w:p>
    <w:p>
      <w:r>
        <w:t>esperito                           il sopralluogo in data 30 agosto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Per la part. no. 237 RFD di __________, con la notifica di decisione 1. febbraio 2005, lUCS ha esposto un valore ufficiale di stima di CHF 108.-</w:t>
      </w:r>
    </w:p>
    <w:p>
      <w:r>
        <w:t>Il reclamo interposto in data 20 agosto 2004 da RI 2 e RI 1 è stato respinto dallUCS con decisione 5 aprile 2005.</w:t>
      </w:r>
    </w:p>
    <w:p>
      <w:r>
        <w:t>Lautorità di prima istanza ha riconfermato la propria decisione ritenendo che dallesame delle zone previste dal Piano Regolatore risulta che il terreno oggetto di reclamo, a prescindere dal suo utilizzo quale giardino, costituisce un fondo inedificabile chiaramente separato dai mappali n. 269 e 270 RFD di __________.</w:t>
      </w:r>
    </w:p>
    <w:p>
      <w:r>
        <w:t>3.     Con ricorso 26/27 aprile 2005 le proprietarie sono insorte innanzi a questo Tribunale argomentando che il mappale oggetto del gravame sarebbe intimamente legato ai mappali n. 269 e 270, dei quali, fungendo da giardino, sarebbe il naturale complemento e che la fattispecie debba essere trattata come lo è stato il mappale no. 229, fondo edificato che si ritrova in una zona non edificabile e che, a detta delle ricorrenti, sarebbe stato trattato dallUCS come se fosse edificabile.</w:t>
      </w:r>
    </w:p>
    <w:p>
      <w:r>
        <w:t>RI 2 e RI 1 postulano di conseguenza che venga applicato al fondo di loro proprietà il valore metrico di base stabilito per i terreni edificabili di __________, in particolare per il mappale no. 229, tenendo conto di un contenuto fattore di riduzione.</w:t>
      </w:r>
    </w:p>
    <w:p>
      <w:r>
        <w:t>4.     La competenza di questo Tribunale a statuire in merito al ricorso è data dallart. 37 Lst. e il tempestivo gravame delle ricorrenti, proprietarie delloggetto stimato e destinatarie della decisione dellUCS, è ricevibile in ordine.</w:t>
      </w:r>
    </w:p>
    <w:p>
      <w:r>
        <w:t>5.     Giusta lart. 11 Lst. sono considerati fondi agricoli ai sensi dellart. 16 LPT e della LDFR quelli idonei oppure adibiti allutilizzazione agricola o orticola, quelli che, nellinteresse generale, devono essere utilizzati dallagricoltura ed infine quelli che pur essendo ubicati in zona edificabile sono assoggettati alla LDFR.</w:t>
      </w:r>
    </w:p>
    <w:p>
      <w:r>
        <w:t>I fondi agricoli sono stimati al valore di reddito agricolo (art. 11 cpv. 2 Lst.), determinato in base alla carta delle idoneità agricole (art. 4 cpv. 1 del Regolamento di applicazione della Lst.), mentre quelli edificati tenendo conto del genere di edificio agricolo (art. 4 cpv. 2 del Regolamento di applicazione della Lst.).</w:t>
      </w:r>
    </w:p>
    <w:p>
      <w:r>
        <w:t>6.     Nel corso del sopralluogo esperito il 30 agosto 2005 il Tribunale ha potuto appurare che la part. no. 237 RFD di __________, situata in zona per attrezzature e costruzioni di interesse pubblico (XB6), è adibita a giardino con gli usuali arredi e manufatti (tavolo, pergola, ecc.). Il fondo é separato dai mappali n. 269 e 270, dai quali dista circa una ventina di metri, per il tramite di una piazzetta, come del resto ben risulta dalla relativa planimetria.</w:t>
      </w:r>
    </w:p>
    <w:p>
      <w:r>
        <w:t>7.     Alla luce di tali risultanze, questo Tribunale ritiene che il mappale no. 237 RFD di __________, trovandosi in zona per attrezzature e costruzioni di interesse pubblico (XB6), non si situi invero in una zona prettamente inedificabile e non possa essere trattato alla stessa stregua di un terreno agricolo.</w:t>
      </w:r>
    </w:p>
    <w:p>
      <w:r>
        <w:t>Il tutto è pure confermato dal fatto che il fondo è adibito a giardino con gli usuali arredamenti (tavolo, pergola, ecc.) e ha un rapporto certamente più accentuato e naturale con il nucleo che con la zona agricola circostante, come del resto risulta dalla sua particolare ubicazione e dalla colorazione della zona di riferimento sul piano delle zone, che richiama la colorazione destinata alla zona del nucleo.</w:t>
      </w:r>
    </w:p>
    <w:p>
      <w:r>
        <w:t>Pur rimarcando che il mapp. no. 237 RFD di __________ non possa essere trattato come lo è stato il mapp. no. 229 RFD di __________, visto che questultimo, a differenza del primo, si trova sì in zona agricola, ma risulta già edificato (art. 10 lett. b) Lst.), il Tribunale di espropriazione ritiene, per i motivi suesposti, di dover stabilire per il mappale oggetto di ricorso un valore metrico di CHF 90.-, corrispondente a quello assegnato alla zona del nucleo.</w:t>
      </w:r>
    </w:p>
    <w:p>
      <w:r>
        <w:t>Di conseguenza, il ricorso viene parzialmente accolto e il valore ufficiale di stima del mappale no. 237 RFD di __________ stabilito in CHF 32'580.-, come da scheda di calcolo annessa.</w:t>
      </w:r>
    </w:p>
    <w:p>
      <w:r>
        <w:t>8.     Giusta lart. 38 cpv. 4 Lst., la tassa di giustizia, di CHF 600.-, è posta a carico delle ricorrenti nella misura di 1/3, ritenuto che la loro domanda di giudizio verteva allapplicazione di un criterio analogo a quello adottato per il mappale no. 229 RFD di __________, dove per il terreno complementare è stato ritenuto un valore metrico di CHF 130.- e per i rimanenti 2/3 a carico dellUCS.</w:t>
      </w:r>
    </w:p>
    <w:p>
      <w:r>
        <w:t>Per questi motivi</w:t>
      </w:r>
    </w:p>
    <w:p>
      <w:r>
        <w:t>richiamati                        i disposti della Legge sulla stima ufficiale della sostanza immobiliare del 13 novembre 1996 (Lst.) e il relativo Regolamento</w:t>
      </w:r>
    </w:p>
    <w:p>
      <w:r>
        <w:t>dichiara</w:t>
      </w:r>
    </w:p>
    <w:p>
      <w:r>
        <w:t>e pronuncia:1.     Il ricorsoè parzialmente accoltoe il valore ufficiale di stima immobiliare del mappale no. 237 RFD di __________ stabilito in CHF 32'580.-, come da scheda di calcolo annessa.</w:t>
      </w:r>
    </w:p>
    <w:p>
      <w:r>
        <w:t>2.     La tassa di giustizia, di CHF 600.-, è posta a carico delle ricorrenti nella misura di 1/3 e per i rimanenti 2/3 a carico dellUfficio cantonale di stima.</w:t>
      </w:r>
    </w:p>
    <w:p>
      <w:r>
        <w:t>3.     La presente decisione é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