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40.2005.263 vom 29. August 2006</w:t>
      </w:r>
    </w:p>
    <w:p>
      <w:r>
        <w:t>TI Tribunale d'appello, 2006-08-29, IT</w:t>
      </w:r>
    </w:p>
    <w:p>
      <w:r>
        <w:rPr>
          <w:b/>
        </w:rPr>
        <w:t xml:space="preserve">Quelle: </w:t>
      </w:r>
      <w:r>
        <w:t>https://mcp.opencaselaw.ch/entscheid/ti_gerichte_40.2005.263</w:t>
      </w:r>
    </w:p>
    <w:p>
      <w:r>
        <w:t>FR: TI_GERICHTE 40.2005.263 du 29 août 2006</w:t>
      </w:r>
    </w:p>
    <w:p>
      <w:r>
        <w:t>IT: TI_GERICHTE 40.2005.263 del 29 agosto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Le stime immobiliari, secondo la Lst., seguono criteri di schematicità e di prudenzialità (art. 20 Lst.).</w:t>
      </w:r>
    </w:p>
    <w:p>
      <w:r>
        <w:rPr>
          <w:b/>
        </w:rPr>
        <w:t>E. 7.1</w:t>
      </w:r>
    </w:p>
    <w:p>
      <w:r>
        <w:t>Per quanto riguarda il mapp. no. 312 il Tribunale, preso atto della dichiarazione di ritiro formulata dalle ricorrenti a verbale di sopralluogo dell11 luglio 2006, stralcia il ricorso dai ruoli per desistenza senza percepire tasse né spese.</w:t>
      </w:r>
    </w:p>
    <w:p>
      <w:r>
        <w:rPr>
          <w:b/>
        </w:rPr>
        <w:t>E. 7.2</w:t>
      </w:r>
    </w:p>
    <w:p>
      <w:r>
        <w:t>Per quanto concerne invece il mapp. no. 308 il Tribunale accoglie il ricorso per i seguenti motivi:</w:t>
      </w:r>
    </w:p>
    <w:p>
      <w:r>
        <w:t>-Il correttivo della vetustà sul valore metrico delledificio deve essere aumentato dal -52% al -60%, ovvero il massimo previsto dallart. 9 cpv. 1 del Regolamento di applicazione della Lst. Ciò poiché labitazione, che si trova in uno stato di conservazione carente, risale perlomeno allinizio del secolo scorso e lunico intervento di una certa importanza eseguito nel corso degli anni è da identificare con la sostituzione del tetto eseguita nel 1962.</w:t>
      </w:r>
    </w:p>
    <w:p>
      <w:r>
        <w:t>-Il valore di reddito, che tiene conto pure della difficile situazione del mercato immobiliare nella località di __________, dello stato di conservazione carente degli appartamenti e della mancanza di un impianto di riscaldamento, deve essere stabilito in CHF 8'100.-, di cui CHF 6'480.- dichiarati e risultanti dai contratti di locazione prodotti dalle ricorrenti e CHF 1'620.- presunti, che si riferiscono allappartamento attualmente occupato dal padre delle ricorrenti. Infine, a seguito di verifica, la superficie abitabile complessiva viene ridotta da 167 a 160 mq.</w:t>
      </w:r>
    </w:p>
    <w:p>
      <w:r>
        <w:rPr>
          <w:b/>
        </w:rPr>
        <w:t>E. 7.3</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8.1</w:t>
      </w:r>
    </w:p>
    <w:p>
      <w:r>
        <w:t>Di conseguenza, il ricorso, stralciato dai ruoli per desistenza limitatamente al mapp. no. 312 RFD di __________, è accolto e il valore ufficiale di stima del mapp. no. 308 RFD di __________ stabilito in CHF 108'340.-, come da scheda di calcolo annessa.</w:t>
      </w:r>
    </w:p>
    <w:p>
      <w:r>
        <w:rPr>
          <w:b/>
        </w:rPr>
        <w:t>E. 8.2</w:t>
      </w:r>
    </w:p>
    <w:p>
      <w:r>
        <w:t>La tassa di giustizia, di CHF 500.-, è posta a carico dellUCS, parte soccombente (art. 38 cpv. 4 Lst.), ritenuto che per lo stralcio non vengono percepite tasse né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