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40.2005.259 vom 14. August 2006</w:t>
      </w:r>
    </w:p>
    <w:p>
      <w:r>
        <w:t>TI Tribunale d'appello, 2006-08-14, IT</w:t>
      </w:r>
    </w:p>
    <w:p>
      <w:r>
        <w:rPr>
          <w:b/>
        </w:rPr>
        <w:t xml:space="preserve">Quelle: </w:t>
      </w:r>
      <w:r>
        <w:t>https://mcp.opencaselaw.ch/entscheid/ti_gerichte_40.2005.259</w:t>
      </w:r>
    </w:p>
    <w:p>
      <w:r>
        <w:t>FR: TI_GERICHTE 40.2005.259 du 14 août 2006</w:t>
      </w:r>
    </w:p>
    <w:p>
      <w:r>
        <w:t>IT: TI_GERICHTE 40.2005.259 del 14 agosto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Giusta lart. 11 Lst. sono considerati fondi agricoli ai sensi dellart. 16 LPT e della LDFR quelli idonei oppure adibiti allutilizzazione agricola o orticola, quelli che, nellinteresse generale, devono essere utilizzati dallagricoltura ed infine quelli che pur essendo ubicati in zona edificabile sono assoggettati alla LDFR.</w:t>
      </w:r>
    </w:p>
    <w:p>
      <w:r>
        <w:t>I fondi agricoli sono stimati al valore di reddito agricolo (art. 11 cpv. 2 Lst.), determinato in base alla carta delle idoneità agricole (art. 4 cpv. 1 del Regolamento di applicazione della Lst.).</w:t>
      </w:r>
    </w:p>
    <w:p>
      <w:r>
        <w:rPr>
          <w:b/>
        </w:rPr>
        <w:t>E. 6.5</w:t>
      </w:r>
    </w:p>
    <w:p>
      <w:r>
        <w:t>Le stime immobiliari, ai sensi della Lst., seguono criteri di schematicità e di prudenzialità (art. 20 Lst.).</w:t>
      </w:r>
    </w:p>
    <w:p>
      <w:r>
        <w:rPr>
          <w:b/>
        </w:rPr>
        <w:t>E. 7.1</w:t>
      </w:r>
    </w:p>
    <w:p>
      <w:r>
        <w:t>In concreto, il Tribunale accoglie parzialmente il ricorso per i seguenti motivi:</w:t>
      </w:r>
    </w:p>
    <w:p>
      <w:r>
        <w:t>-Mapp. no. 192: premesso che nella valutazione della stima si deve tener conto separatamente di tutti gli accessori (art. 4 Lst.) ad eccezione di quelli di poca importanza, che sono compresi nella valutazione globale del fondo (art. 2 del Regolamento di applicazione della Lst.), alla luce delle risultanze del sopralluogo e in particolare delle caratteristiche specifiche delledificio, di recente costruzione -1997- e con finiture e stato di conservazione che rientrano nella norma, il valore di stima viene ritenuto adeguato, ad accezione del valore assegnato al sub. D, un semplice letamaio che non può essere considerato nemmeno come edificio accessorio e deve essere computato con il solo valore del sedime.</w:t>
      </w:r>
    </w:p>
    <w:p>
      <w:r>
        <w:t>Per quanto attiene invece al valore del terreno in una recente decisione (Sentenza del 14 luglio 2006 della II Corte di diritto pubblico in re Comunione ereditaria fu __________ contro Ufficio di stima del Cantone Ticino e Tribunale di espropriazione del Cantone Ticino) riguardante una fattispecie analoga il Tribunale Federale ha avuto modo di ribadire che così come la giurisprudenza riconosce ad esempio che è impossibile stabilire in ogni singolo caso il valore locativo in ragione di una ben precisa percentuale del valore venale (DTF 125 I 65 consid. 3c), è parimenti escluso di poter fissare il valore di reddito con una precisione dellordine dei centesimi. Il ricorso a determinati parametri forfetari è pertanto imprescindibile, considerato che la stima ufficiale degli immobili viene determinata nel quadro di una procedura su larga scala, in cui occorre tener conto anche di aspetti di praticabilità e di economicità dellattività amministrativa. In questo senso, per semplificare il procedimento, sono ammesse soluzione schematiche, anche se in tal modo vengono forzatamente trascurate alcune specificità dei singoli casi e non viene perfettamente garantita la parità di trattamento (DTF 131 I 291 consid. 3.2.1 e 3.2.2; 128 I 240 consid. 2.3; 125 I 65 consid. 3c; sentenza 2P.36/1999 del 3 novembre 2000, in: Pra 2001 n. 98, consid. 2c). Ne consegue che le modalità di valutazione adottate dal legislatore, che differiscono in modo marcato da quelle che stavano alla base della vecchia Lst. e non possono essere realmente paragonate, reggono di principio alle censure formulate dai ricorrenti. In merito a questo specifico punto, il ricorso deve pertanto essere rigettato.</w:t>
      </w:r>
    </w:p>
    <w:p>
      <w:r>
        <w:t>-Mapp. no. 1179: se è vero che i vincoli dovuti ai sussidi agricoli non incidono né sul valore del terreno né sulle sue potenzialità edificatorie è altrettanto vero che la superficie ridotta del fondo, di soli 268 mq, non permette uno sfruttamento ideale secondo i parametri di PR previsti per la zona residenziale semi-intensiva, 3 piani (R3). Deve essere pertanto applicato un correttivo del -30% sul valore metrico del terreno, ritenuto che lo stesso, oltre che di superficie maggiore rispetto al mapp. no. 1171, posto come termine di paragone, risulta comunque già ampiamente edificato.</w:t>
      </w:r>
    </w:p>
    <w:p>
      <w:r>
        <w:t>-Mapp. nr. 3713, 3714, 3784, 3787, 3796: per quanto attiene il valore di base dei terreni, che deve essere confermato, vale quanto già esposto per il mapp. no. 192. Purtuttavia, nella fattispecie concreta il Tribunale applica un correttivo del -35% sul valore metrico di ciascun terreno in considerazione del fatto che i medesimi, vista lubicazione discosta ad un altitudine di ca. 1'500 m/sm, sono utilizzati unicamente per ununica falciatura sullarco di un anno e non sono destinati a pascolo.</w:t>
      </w:r>
    </w:p>
    <w:p>
      <w:r>
        <w:t>-Mapp. nr. 3524, 3542, 3549 e 3550: anche in questo caso, per quanto riguarda il valore di base dei terreni, che deve essere confermato, vale quanto già esposto per il mapp. no. 192. Nella fattispecie concreta, ritenuto che i ricorrenti medesimi sostengono che si tratta di terreni prativi destinati esclusivamente a pascolo, non sussistono motivi tali da giustificare lapplicazione di un correttivo sul valore metrico di riferimento. I rispettivi valori ufficiali di stima vengono pertanto confermati.</w:t>
      </w:r>
    </w:p>
    <w:p>
      <w:r>
        <w:t>-Mapp. 4663 e 4666: i due fondi, situati in località __________, presentano dei rustici in stato precario con finiture semplici ed economiche che nel corso degli anni non sono stati oggetto di manutenzioni particolari. Inoltre, oltre a trovarsi in una zona soggetta a pericolo naturale e ad essere raggiungibili unicamente tramite un sentiero, gli edifici sono privi di sistemi di approvvigionamento dacqua potabile e di qualsiasi altra infrastruttura. Ritenute le loro caratteristiche specifiche i rispettivi valori metrici a nuovo devono essere ridotti da CHF/mc 122.- a CHF/mc 86.-, valore che meglio si addice alle fattispecie concrete. Per quanto attiene invece al valore base dei terreni, utilizzati come pascolo, vale quanto esposto sopra.</w:t>
      </w:r>
    </w:p>
    <w:p>
      <w:r>
        <w:rPr>
          <w:b/>
        </w:rPr>
        <w:t>E. 7.2</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rPr>
          <w:b/>
        </w:rPr>
        <w:t>E. 8.1</w:t>
      </w:r>
    </w:p>
    <w:p>
      <w:r>
        <w:t>Di conseguenza, il ricorso è parzialmente accolto e i valori ufficiali di stima così stabiliti, come da schede di calcolo annesse:</w:t>
      </w:r>
    </w:p>
    <w:p>
      <w:r>
        <w:t>-CHF 307'686.- per il mapp. no. 192 RFD di __________;</w:t>
      </w:r>
    </w:p>
    <w:p>
      <w:r>
        <w:t>-CHF 34512.- per il mapp. no. 1179 RFD di __________;</w:t>
      </w:r>
    </w:p>
    <w:p>
      <w:r>
        <w:t>-CHF 258.05.- per il mapp. no. 3713 RFD di __________;</w:t>
      </w:r>
    </w:p>
    <w:p>
      <w:r>
        <w:t>-CHF 272.35.- per il mapp. no. 3714 RFD di __________;</w:t>
      </w:r>
    </w:p>
    <w:p>
      <w:r>
        <w:t>-CHF 13.- per il mapp. no. 3784 RFD di __________;</w:t>
      </w:r>
    </w:p>
    <w:p>
      <w:r>
        <w:t>-CHF 102.70.- per il mapp. no. 3787 RFD di __________;</w:t>
      </w:r>
    </w:p>
    <w:p>
      <w:r>
        <w:t>-CHF 234.- per il mapp. no. 3796 RFD di __________;</w:t>
      </w:r>
    </w:p>
    <w:p>
      <w:r>
        <w:t>-CHF 346.- per il mapp. no. 3524 RFD di __________ (valore confermato);</w:t>
      </w:r>
    </w:p>
    <w:p>
      <w:r>
        <w:t>-CHF 1982.- per il mapp. no. 3542 RFD di __________ (valore confermato);</w:t>
      </w:r>
    </w:p>
    <w:p>
      <w:r>
        <w:t>-CHF 1734.- per il mapp. no. 3549 RFD di __________ (valore confermato);</w:t>
      </w:r>
    </w:p>
    <w:p>
      <w:r>
        <w:t>-CHF 1277.- per il mapp. no. 3550 RFD di __________ (valore confermato);</w:t>
      </w:r>
    </w:p>
    <w:p>
      <w:r>
        <w:t>-CHF 5933.- per il mapp. no. 4663 RFD di __________;</w:t>
      </w:r>
    </w:p>
    <w:p>
      <w:r>
        <w:t>-CHF 2'012.- per il mapp. no. 4666 RFD di __________.</w:t>
      </w:r>
    </w:p>
    <w:p>
      <w:r>
        <w:rPr>
          <w:b/>
        </w:rPr>
        <w:t>E. 8.2</w:t>
      </w:r>
    </w:p>
    <w:p>
      <w:r>
        <w:t>La tassa di giustizia, di CHF 1'000.-, è posta a carico delle parti in ragione della rispettiva soccombenza, di 1/2 ciascuno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