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40.2005.241 vom 19. Mai 2006</w:t>
      </w:r>
    </w:p>
    <w:p>
      <w:r>
        <w:t>TI Tribunale d'appello, 2006-05-19, IT</w:t>
      </w:r>
    </w:p>
    <w:p>
      <w:r>
        <w:rPr>
          <w:b/>
        </w:rPr>
        <w:t xml:space="preserve">Quelle: </w:t>
      </w:r>
      <w:r>
        <w:t>https://mcp.opencaselaw.ch/entscheid/ti_gerichte_40.2005.241</w:t>
      </w:r>
    </w:p>
    <w:p>
      <w:r>
        <w:t>FR: TI_GERICHTE 40.2005.241 du 19 mai 2006</w:t>
      </w:r>
    </w:p>
    <w:p>
      <w:r>
        <w:t>IT: TI_GERICHTE 40.2005.241 del 19 maggio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Nella fattispecie concreta il Tribunale respinge il ricorso. Ciò per i seguenti motivi:</w:t>
      </w:r>
    </w:p>
    <w:p>
      <w:r>
        <w:t>-Il fatto che entrambi gli edifici hanno la copertura in eternit è già stato considerato sia nelle valutazioni dello standard delle finiture e dello stato di conservazione di entrambi gli edifici principali sia nello stabilire il rispettivo valore metrico a nuovo.</w:t>
      </w:r>
    </w:p>
    <w:p>
      <w:r>
        <w:t>-Il fatto che gli edifici confinino muro contro muro con altre proprietà è un elemento caratteristico di tutte le zone del nucleo che è già stato considerato nello stabilire il valore metrico base di zona per i fondi confinati in tale area, che risulta chiaramente inferiore rispetto alle altre zone edificabili presenti nel resto del comprensorio comunale. Lentità dei rumori provenienti dallautostrada, dalla ferrovia e dal canile, che si trovano invero ad una distanza considerevole dai fondi di proprietà dei ricorrenti, non sono chiaramente tali da giustificare unulteriore riduzione dei valori di reddito degli edifici o del valore metrico di base dei terreni. Questultimo valore, stabilito in CHF/mq 90.-, è inoltre già di per sé decisamente prudenziale rispetto al prezzo normalmente conseguibile per un oggetto analogo in una libera contrattazione.</w:t>
      </w:r>
    </w:p>
    <w:p>
      <w:r>
        <w:t>-La presenza degli oneri di passo è già stata considerata dallUCS che ha applicato un correttivo del -10% sul valore metrico di entrambi i terreni.</w:t>
      </w:r>
    </w:p>
    <w:p>
      <w:r>
        <w:t>-Allo stato attuale della ricerca non risultano elementi tali che possano dimostrare concretamente la pericolosità di un antenna di telecomunicazione - che nella fattispecie dista inoltre parecchi metri dagli edifici di proprietà dei ricorrenti - per la salute degli esseri umani. Non sussistono pertanto argomenti validi che possano giustificare una conseguente riduzione del valore di stima.</w:t>
      </w:r>
    </w:p>
    <w:p>
      <w:r>
        <w:t>-La terrazza/balcone deve essere infine considerata nella superficie abitabile poiché non è sporgente ed è inclusa nella pianta delledificio principale sub. A del mapp. no. 942.</w:t>
      </w:r>
    </w:p>
    <w:p>
      <w:r>
        <w:rPr>
          <w:b/>
        </w:rPr>
        <w:t>E. 7.2</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respinto e i valori ufficiali di stima confermati in CHF 210'436.- per il mapp. no. 74 e in CHF 120'048.- per il mapp. no. 942, come da schede di calcolo annesse.</w:t>
      </w:r>
    </w:p>
    <w:p>
      <w:r>
        <w:rPr>
          <w:b/>
        </w:rPr>
        <w:t>E. 8.2</w:t>
      </w:r>
    </w:p>
    <w:p>
      <w:r>
        <w:t>La tassa di giustizia, di CHF 600.-, è posta in solido a carico dei ricorrenti, parte soccombente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