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40.2005.240 vom 29. August 2006</w:t>
      </w:r>
    </w:p>
    <w:p>
      <w:r>
        <w:t>TI Tribunale d'appello, 2006-08-29, IT</w:t>
      </w:r>
    </w:p>
    <w:p>
      <w:r>
        <w:rPr>
          <w:b/>
        </w:rPr>
        <w:t xml:space="preserve">Quelle: </w:t>
      </w:r>
      <w:r>
        <w:t>https://mcp.opencaselaw.ch/entscheid/ti_gerichte_40.2005.240</w:t>
      </w:r>
    </w:p>
    <w:p>
      <w:r>
        <w:t>FR: TI_GERICHTE 40.2005.240 du 29 août 2006</w:t>
      </w:r>
    </w:p>
    <w:p>
      <w:r>
        <w:t>IT: TI_GERICHTE 40.2005.240 del 29 agosto 2006</w:t>
      </w:r>
    </w:p>
    <w:p>
      <w:pPr>
        <w:pStyle w:val="Heading2"/>
      </w:pPr>
      <w:r>
        <w:t>Erwägungen</w:t>
      </w:r>
    </w:p>
    <w:p>
      <w:r>
        <w:rPr>
          <w:b/>
        </w:rPr>
        <w:t>E. 8.1</w:t>
      </w:r>
    </w:p>
    <w:p>
      <w:r>
        <w:t>Se le condizioni generali per la valutazione dei beni immobili dovessero subire dei mutamenti essenziali e permanenti, tali da rendere i valori ufficiali di stima manifestamente infondati, si procede dufficio, su istanza di parte o del Municipio, ad una loro revisione eccezionale, fermo restando che la modifica di valore provocata da fattori che concorrono alla variazione generale dei valori di stima non dà luogo a revisioni eccezionali (art. 9 cpv. 1 e 2 Lst.).</w:t>
      </w:r>
    </w:p>
    <w:p>
      <w:r>
        <w:t>Tale disposto di legge deve essere interpretato in modo restrittivo, ritenuto che il legislatore ha citato specificatamente i mutamenti essenziali dello stato dei luoghi, tali da rendere i valori di stima manifestamente inadeguati e si è riferito in particolare a fenomeni o catastrofi naturali (inondazioni, smottamenti di terreno, frane, valanghe, ecc.) atti a mutare permanentemente ed in modo del tutto imprevedibile lo stato dei luoghi (cfr. Messaggio 21 febbraio 1995 inerente il progetto di nuova legge sulla stima ufficiale della sostanza immobiliare).</w:t>
      </w:r>
    </w:p>
    <w:p>
      <w:r>
        <w:rPr>
          <w:b/>
        </w:rPr>
        <w:t>E. 8.2</w:t>
      </w:r>
    </w:p>
    <w:p>
      <w:r>
        <w:t>Giusta lart. 42 cpv. 1 Lst. il Consiglio di Stato può fare procedere in ogni momento, su istanza di parte o dufficio, a rettificare stime definitive che si rivelassero manifestamente inattendibili.</w:t>
      </w:r>
    </w:p>
    <w:p>
      <w:r>
        <w:t>La definizione manifestamente inattendibili deve essere interpretata restrittivamente. Ciò significa che la modifica straordinaria della stima è possibile unicamente in caso di errori manifesti nei dati raccolti per il calcolo della stima, ma non, ad esempio, in caso di oscillazioni del mercato immobiliare (cfr. Rapporto n. 4375 del 20 settembre 1996 della Commissione speciale in materia tributaria sul messaggio concernente il progetto di nuova legge sulla stima ufficiale della sostanza immobiliare).</w:t>
      </w:r>
    </w:p>
    <w:p>
      <w:r>
        <w:rPr>
          <w:b/>
        </w:rPr>
        <w:t>E. 8.3</w:t>
      </w:r>
    </w:p>
    <w:p>
      <w:r>
        <w:t>Ai sensi dellart. 42 cpv. 3 la nuova stima esplica i suoi effetti a partire dalla richiesta di rettifica, rispettivamente dalla notifica della decisione nel caso di rettifica dufficio.</w:t>
      </w:r>
    </w:p>
    <w:p>
      <w:r>
        <w:rPr>
          <w:b/>
        </w:rPr>
        <w:t>E. 9.1</w:t>
      </w:r>
    </w:p>
    <w:p>
      <w:r>
        <w:t>In concreto, il Tribunale respinge il ricorso. Ciò per i seguenti motivi:</w:t>
      </w:r>
    </w:p>
    <w:p>
      <w:r>
        <w:t>- La richiesta di modifica straordinaria della stima risale al 17 giugno 2005 e pertanto, ai sensi dellart. 42 cpv. 3 Lst., è solo a decorrere da questa data che un eventuale nuovo valore potrebbe concretamente esplicare i suoi effetti. Considerato però che con il 1. gennaio 2005 è entrato in vigore il nuovo valore di stima, rimasto tra laltro incontestato e soprattutto che la successione è stata formalmente aperta il 9 maggio 2004 (ricorso, punto 9., pag. 7) e che pertanto, di principio, il valore di stima determinante non può che essere quello precedente, mal si comprende come alla base della richiesta formulata dalla ricorrente possa veramente esserci un legittimo interesse giusta lart. 43 LPamm.</w:t>
      </w:r>
    </w:p>
    <w:p>
      <w:r>
        <w:t>Nella fattispecie concreta, trattandosi inoltre di una problematica prettamente fiscale, è semmai facoltà dellautorità di tassazione e non certamente del Tribunale di espropriazione entrare nel merito di una richiesta fondata sullart. 158 cpv. 2 LT.</w:t>
      </w:r>
    </w:p>
    <w:p>
      <w:r>
        <w:t>Già per questi soli motivi il ricorso di RI 1 deve essere respinto.</w:t>
      </w:r>
    </w:p>
    <w:p>
      <w:r>
        <w:t>-  I valori di stima elencati dalla ricorrente sono stati stabiliti nei momenti determinanti previsti dalla legge e in concreto le condizioni base non hanno subito dei mutamenti essenziali e permanenti tali da rendere il valore di stima dellimmobile manifestamente inattendibile. Tanto più che del naturale invecchiamento delledificio già si è tenuto conto nella determinazione del nuovo valore di stima entrato in vigore con il 1. gennaio 2005 e che il legislatore ha voluto restringere il campo di applicazione dellart. 9 Lst. ai casi di fenomeni o catastrofi naturali atti a mutare permanentemente e in modo del tutto imprevedibile lo stato dei luoghi e non al normale invecchiamento dellimmobile o ad altri fattori considerati nellambito di una revisione generale delle stime e degli specifici aggiornamenti previsti dalla Lst. (cfr. Messaggio 25 febbraio 1995 concernente il progetto di nuova legge sulla stima ufficiale della sostanza immobiliare).</w:t>
      </w:r>
    </w:p>
    <w:p>
      <w:r>
        <w:t>-  Nemmeno la rettifica della stima può entrare in considerazione. Il legislatore ha infatti ristretto il campo di applicazione dellart. 42 Lst. al caso in cui la stessa si rivelasse manifestamente inattendibile. Termine che deve essere interpretato restrittivamente e si riferisce in particolare allindividuazione di errori manifesti nei dati raccolti per la determinazione del valore di stima e non alle oscillazioni del mercato immobiliare o al normale invecchiamento di un immobile (cfr. rapporto n. 4375 della Commissione speciale in materia tributaria sul messaggio concernente il progetto di nuova legge sulla stima ufficiale della sostanza immobiliare del 20 settembre 1996).</w:t>
      </w:r>
    </w:p>
    <w:p>
      <w:r>
        <w:rPr>
          <w:b/>
        </w:rPr>
        <w:t>E. 9.2</w:t>
      </w:r>
    </w:p>
    <w:p>
      <w:r>
        <w:t>Per il resto le valutazioni effettuate dal Consiglio di Stato non prestano il fianco ad alcuna critica e sono ossequiose dei canoni di estimo sanciti dalla Lst.</w:t>
      </w:r>
    </w:p>
    <w:p>
      <w:r>
        <w:t>Nella fattispecie concreta, limitatamente allestimo in sé, non si vede in particolare in che modo la decisione dellautorità di prima istanza possa ledere la garanzia costituzionale della proprietà e, ritenuto che nel momento determinante per lestimo fissato nella vecchia e nella nuova legislazione pure gli altri fondi con analoga destinazione e situati nella medesima zona sono stati trattati con i medesimi criteri, nemmeno può sussistere una violazione del principio della parità di trattamento. Del resto, come già suesposto, sia la sistematica legge sulla stima sia la volontà del legislatore escludono che lusuale invecchiamento di un edificio e le dirette conseguenze che ne derivano possano da soli giustificare una modifica straordinaria della stima.</w:t>
      </w:r>
    </w:p>
    <w:p>
      <w:r>
        <w:rPr>
          <w:b/>
        </w:rPr>
        <w:t>E. 10.1</w:t>
      </w:r>
    </w:p>
    <w:p>
      <w:r>
        <w:t>Di conseguenza, il ricorso è respinto e il valore ufficiale di stima del mapp. no. 3857 RFD di __________ è confermato.</w:t>
      </w:r>
    </w:p>
    <w:p>
      <w:r>
        <w:rPr>
          <w:b/>
        </w:rPr>
        <w:t>E. 10.2</w:t>
      </w:r>
    </w:p>
    <w:p>
      <w:r>
        <w:t>La tassa di giustizia, di CHF 600.-, è posta a carico della ricorrente, parte soccombente ai sensi dellart. 38 cpv. 4 Lst.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