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40.2005.220 vom 24. März 2010</w:t>
      </w:r>
    </w:p>
    <w:p>
      <w:r>
        <w:t>TI Tribunale d'appello, 2010-03-24, IT</w:t>
      </w:r>
    </w:p>
    <w:p>
      <w:r>
        <w:rPr>
          <w:b/>
        </w:rPr>
        <w:t xml:space="preserve">Quelle: </w:t>
      </w:r>
      <w:r>
        <w:t>https://mcp.opencaselaw.ch/entscheid/ti_gerichte_40.2005.220</w:t>
      </w:r>
    </w:p>
    <w:p>
      <w:r>
        <w:t>FR: TI_GERICHTE 40.2005.220 du 24 mars 2010</w:t>
      </w:r>
    </w:p>
    <w:p>
      <w:r>
        <w:t>IT: TI_GERICHTE 40.2005.220 del 24 marzo 2010</w:t>
      </w:r>
    </w:p>
    <w:p>
      <w:pPr>
        <w:pStyle w:val="Heading2"/>
      </w:pPr>
      <w:r>
        <w:t>Erwägungen</w:t>
      </w:r>
    </w:p>
    <w:p>
      <w:r>
        <w:rPr>
          <w:b/>
        </w:rPr>
        <w:t>E. 6</w:t>
      </w:r>
    </w:p>
    <w:p>
      <w:r>
        <w:t>6.1.     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6.2.     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t>6.3.     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t>6.4.     I fondi edificabili sono valutati secondo il loro valore venale, a dipendenza del loro grado di urbanizzazione (art. 15 cpv. 1 Lst.), nello stato di fatto e di diritto in cui si trovano nel momento della stima (art. 5 Lst.).</w:t>
      </w:r>
    </w:p>
    <w:p>
      <w:r>
        <w:t>È considerato valore venale di un fondo il prezzo normalmente conseguibile per un oggetto analogo in una libera contrattazione, ritenuto che circostanze eccezionali o personali che possono influire sulla singola contrattazione non vengono però considerate (art. 16 cpv. 1 Lst.).</w:t>
      </w:r>
    </w:p>
    <w:p>
      <w:r>
        <w:t>Il valore metrico del terreno risulta dal confronto dei prezzi medi di oggetti analoghi in zone paragonabili (art. 17 cpv. 1 Lst.).</w:t>
      </w:r>
    </w:p>
    <w:p>
      <w:r>
        <w:t>6.5.     Giusta lart. 11 Lst. sono considerati fondi agricoli ai sensi dellart. 16 LPT e della LDFR quelli idonei oppure adibiti allutilizzazione agricola o orticola, quelli che, nellinteresse generale, devono essere utilizzati dallagricoltura ed infine quelli che pur essendo ubicati in zona edificabile sono assoggettati alla LDFR.</w:t>
      </w:r>
    </w:p>
    <w:p>
      <w:r>
        <w:t>I fondi agricoli sono stimati al valore di reddito agricolo (art. 11 cpv. 2 Lst.), determinato in base alla carta delle idoneità agricole (art. 4 cpv. 1 del Regolamento di applicazione della Lst.).</w:t>
      </w:r>
    </w:p>
    <w:p>
      <w:r>
        <w:t>6.6.     Le stime immobiliari, ai sensi della Lst., seguono criteri di schematicità e di prudenzialità (art. 20 Lst.).</w:t>
      </w:r>
    </w:p>
    <w:p>
      <w:r>
        <w:t>7.     In concreto, il Tribunale, che non è vincolato dalle domande del ricorrente (art. 38 cpv. 3 Lst.) e giudica con pieno potere cognitivo (art. 38 cpv. 1 Lst. e 18 cpv. 1 LPamm.) accoglie parzialmente il ricorso per i motivi che seguono.</w:t>
      </w:r>
    </w:p>
    <w:p>
      <w:r>
        <w:t>7.1.     Avantutto occorre rilevare che con scritto 11 gennaio 2010 il RI 1 ha dichiarato di ritirare il ricorso per il mappale 5038 (Alpe __________), motivo per cui lo stesso, limitatamente a detto fondo, è stralciato dai ruoli ed il valore di stima fissato dallUCS è confermato.</w:t>
      </w:r>
    </w:p>
    <w:p>
      <w:r>
        <w:t>7.2.     Il piano regolatore di __________ situa i mapp. 298, 299,  2911, 3182, 4067, 4068, 4069, 4223, 4454, 4456, 4473, 4711, 4741, 4836, 4874, 4909, 4931, 4961, 4986, 5014, 5031, 5032 e 5035 fuori dalla zona edificabile. LUCS ha di conseguenza determinato i relativi valori di stima sulla base della carta delle idoneità agricole, che situa i vari terreni nelle diverse zone climatiche (es. A6 da 0 a 400 m/sm zona del piano più favorevole allagricoltura, B6 da 400 a 800 m/sm zona collinare e di bassa montagna ecc.) e per le quali sono stati fissati a livello cantonale dei valori prudenziali unitari (es. per A6 fr./mq. 0.40., per B6 fr./mq. 0.30 ecc.).In una sua decisione (sentenza 14 luglio 2006 della II Corte di diritto pubblico in re CE G. contro Ufficio di stima del Cantone Ticino e Tribunale di espropriazione del Cantone Ticino) il Tribunale Federale ha avuto modo di ribadire che così come la giurisprudenza riconosce ad esempio che è impossibile stabilire in ogni singolo caso il valore locativo in ragione di una ben precisa percentuale del valore venale (DTF 125 I 65 consid. 3c), è parimenti escluso di poter fissare il valore di reddito con una precisione dellordine dei centesimi. Il ricorso a determinati parametri forfetari è pertanto imprescindibile, considerato che la stima ufficiale degli immobili viene determinata nel quadro di una procedura su larga scala, in cui occorre tener conto anche di aspetti di praticabilità e di economicità dellattività amministrativa. In questo senso, per semplificare il procedimento, sono ammesse soluzione schematiche, anche se in tal modo vengono forzatamente trascurate alcune specificità dei singoli casi e non viene perfettamente garantita la parità di trattamento (DTF 131 I 291 consid. 3.2.1 e 3.2.2; 128 I 240 consid. 2.3; 125 I 65 consid. 3c; sentenza 2P.36/1999 del 3 novembre 2000, in: Pra 2001 n. 98, consid. 2c). Ne consegue che le modalità di valutazione adottate dal legislatore, che differiscono in modo marcato da quelle che stavano alla base della vecchia Lst. e non possono essere realmente paragonate, reggono di principio alle censure formulate dal ricorrente.</w:t>
      </w:r>
    </w:p>
    <w:p>
      <w:r>
        <w:t>In merito a questo specifico punto il ricorso deve pertanto essere respinto ed i valori di stima fissati dallUCS per i fondi indicati in ingresso devono essere confermati.</w:t>
      </w:r>
    </w:p>
    <w:p>
      <w:r>
        <w:t>7.3.     Come confermato nel ricorso e poi constatato dal Tribunale al sopralluogo, la parte a valle del mappale 4649 è destinata allattività di cava, in particolare allestrazione del granito e deposito di scarti di cava. Ciò ha indotto questa autorità a richiedere al RI 1 la produzione dei contratti di affitto relativi allattività della cava.Per il mappale 4649 lUCS ha tralasciato di determinare il valore di reddito, escludendolo completamente dal calcolo della stima, senza peraltro fornire una concreta e sostenibile spiegazione in merito. A fronte dei contenuti inequivocabili dellart. 16 cpv. 2 Lst. lomissione appare del tutto inspiegabile oltre che errata. Lestimo deve infatti corrispondere al principio basilare secondo cui un bene immobiliare vale quanto rende (cfr. Messaggio 4375 del 21 febbraio 1995 concernente il progetto di nuova Lst., ad art. 19).</w:t>
      </w:r>
    </w:p>
    <w:p>
      <w:r>
        <w:t>Ora, anche se il Tribunale di espropriazione, che non è vincolato dalle domande dei ricorrenti (art. 38 cpv. 3 Lst.) giudica con pieno potere cognitivo (art. 38 cpv. 1 Lst. e 18 cpv. 1 LPamm.), la lacuna non è invero sanabile in questa sede, ritenuto che oltre a ciò lautorità di prima istanza non è  nemmeno entrata nel merito delle motivazioni che lhanno portata ad operare tale scelta.</w:t>
      </w:r>
    </w:p>
    <w:p>
      <w:r>
        <w:t>Pertanto, ai sensi degli art. 59 e 65 LPamm., applicabili alla fattispecie concreta in virtù del rinvio generale contenuto allart. 38 cpv. 1 Lst., ritenuto che lautorità di prima istanza ha accertato la fattispecie in modo palesemente incompleto tralasciando di determinare il valore di reddito e omettendo di motivare perlomeno succintamente le ragioni concrete che lhanno indotta in questa sua scelta, violando così lart. 26 cpv. 1 LPamm., per questo specifico punto la causa deve esserle rinviata per nuovo giudizio. Diversamente i ricorrenti si vedrebbero ingiustamente preclusa unistanza di giudizio.</w:t>
      </w:r>
    </w:p>
    <w:p>
      <w:r>
        <w:t>7.4.     Il ricorso deve essere respinto per quel che concerne i mappali 982, 3103, 4162 e 4221.Per le prime tre particelle lautorità di prima istanza ha già ammesso un correttivo del -50% sul valore metrico del terreno per tenere conto di tutti quegli aspetti sfavorevoli che lo gravano (superficie ridotta ecc.). Ciò appare al Tribunale adeguato ed equo, se si considera che i fondi sono comunque inclusi nella zona edificabile e godono della possibilità di essere ceduti in servizio ai terreni confinanti oppure di trasferirne gli indici.La parità di trattamento con le  zone cave analoghe e le considerazioni espresse al punto n. 7.1 del presente giudizio giustificano invece i valori applicati al mappale 4221.</w:t>
      </w:r>
    </w:p>
    <w:p>
      <w:r>
        <w:t>7.5.     Il ricorso è invece accolto o parzialmente accolto per le rimanenti particelle e meglio:</w:t>
      </w:r>
    </w:p>
    <w:p>
      <w:r>
        <w:t>-     mapp. 967: il terreno è teoricamente di per sé stante inedificabile a causa delle distanze da rispettare dai confini e dalla strada; ciò giustifica a mente del Tribunale un correttivo del -50% e non solo del -35%;</w:t>
      </w:r>
    </w:p>
    <w:p>
      <w:r>
        <w:t>-     mapp. 3047: per questo tipo di terreni viene concessa una deroga  alla distanza dai boschi fino a 6 ml. (art. 6 cpv. 3 LCFo.). Una concreta possibilità di edificazione esiste anche se con qualche difficoltà, in particolar modo per quanto attiene al raggiungimento del massimo sfruttamento; ciò giustifica lapplicazione di un correttivo del -20% sul valore metrico del terreno;</w:t>
      </w:r>
    </w:p>
    <w:p>
      <w:r>
        <w:t>-     mapp. 3073: la forma del fondo e le limitazioni dettate dalla distanza dai confini rendono ledificazione difficilmente attuabile, ciò che giustifica lapplicazione di un correttivo del -50% (e non solo del -20%) sul valore metrico del terreno;</w:t>
      </w:r>
    </w:p>
    <w:p>
      <w:r>
        <w:t>-     mapp. 4608: si giustifica lapplicazione di un correttivo del -50% (e non solo del -20%) sul valore metrico del terreno, limitatamente  alla porzione di fondo inclusa nella zona edificabile. Ancorché di per sé stante inedificabile, detta superficie appartiene alla zona industriale, che ne  determina un sicuro valore, garantendo la possibilità di cessione in servizio ad altro fondo confinante oppure di trasferimento degli indici. Per la rimanente area situata al di fuori della zona edificabile valgono le argomentazioni già espresse al punto n. 7.1. del presente giudizio.</w:t>
      </w:r>
    </w:p>
    <w:p>
      <w:r>
        <w:t>7.6.     Per il resto le valutazioni effettuate dallUCS non prestano fianco ad alcuna critica, sono ossequiose dei canoni di estimo sanciti dalla Lst. e riflettono in modo prudenziale il prezzo normalmente conseguibile per oggetti analoghi in una libera contrattazione.</w:t>
      </w:r>
    </w:p>
    <w:p>
      <w:r>
        <w:rPr>
          <w:b/>
        </w:rPr>
        <w:t>E. 8</w:t>
      </w:r>
    </w:p>
    <w:p>
      <w:r>
        <w:t>8.1.     Di conseguenza,</w:t>
      </w:r>
    </w:p>
    <w:p>
      <w:r>
        <w:t>8.1.1.     il ricorso è parzialmente accolto e i valori ufficiali di stima sono così stabiliti, come da schede di calcolo annesse:</w:t>
      </w:r>
    </w:p>
    <w:p>
      <w:r>
        <w:t>- fr. 276.00 per il mappale no. 298 RFD di __________(valore confermato)- fr. 1'475.00 per il mappale no. 299 RFD di __________(valore confermato)- fr. 16'050.00 per il mappale no. 967 RFD di __________- fr. 2'275.00 per il mappale no. 982 RFD di __________(valore confermato)- fr. 823'281.30 per il mappale no. 2911 RFD di __________(valore confermato)- fr. 38'160.00 per il mappale no. 3047 RFD di __________- fr. 60'390.00 per il mappale no. 3073 RFD di __________- fr. 1'265.00 per il mappale no. 3103 RFD di __________(valore confermato)- fr. 278.00 per il mappale no. 3182 RFD di __________(valore confermato)- fr. 6'444.00 per il mappale no. 4067 RFD di __________(valore confermato)- fr. 2'375.00 per il mappale no. 4068 RFD di __________(valore confermato)- fr. 1'479.00 per il mappale no. 4069 RFD di __________(valore confermato)- fr. 2'655.00 per il mappale no. 4162 RFD di __________(valore confermato)- fr. 100'411.00 per il mappale no. 4221 RFD di __________(valore confermato)- fr. 448.00 per il mappale no. 4223 RFD di __________(valore confermato)- fr. 2'018.00 per il mappale no. 4454 RFD di __________(valore confermato)- fr. 668.00 per il mappale no. 4456 RFD di __________(valore confermato)- fr. 31'278.00 per il mappale no. 4473 RFD di __________(valore confermato)- fr. 72'440.00 per il mappale no. 4608 RFD di __________- fr. 17'197.00 per il mappale no. 4711 RFD di __________(valore confermato)- fr. 2'457.00 per il mappale no. 4741 RFD di __________(valore confermato)- fr. 130'952.00 per il mappale no. 4836 RFD di __________(valore confermato)- fr. 104'983.00 per il mappale no. 4874 RFD di __________(valore confermato)- fr. 216.00 per il mappale no. 4909 RFD di __________(valore confermato)- fr. 6'598.00 per il mappale no. 4931 RFD di __________(valore confermato)- fr. 29'618.00 per il mappale no. 4961 RFD di __________(valore confermato)- fr. 43'401.00 per il mappale no. 4986 RFD di __________(valore confermato)- fr. 106'280.00 per il mappale no. 5014 RFD di __________(valore confermato)- fr. 150'717.00 per il mappale no. 5031 RFD di __________(valore confermato)- fr. 76'881.00 per il mappale no. 5032 RFD di __________(valore confermato)</w:t>
      </w:r>
    </w:p>
    <w:p>
      <w:r>
        <w:t>- fr. 2'008.00 per il mappale no. 5035 RFD di __________(valore confermato)- fr. 6'010.00 per il mappale no. 5038 RFD di __________(valore confermato)</w:t>
      </w:r>
    </w:p>
    <w:p>
      <w:r>
        <w:t>8.2.     Per il mappale no. 4649 RFD di __________, la decisione impugnata è annullata e lincarto rinviato alUCS affinchè , effettuati i necessari accertamenti, proceda ad emettere un nuovo giudizio ai sensi dei considerandi.</w:t>
      </w:r>
    </w:p>
    <w:p>
      <w:r>
        <w:t>8.3.     Per il mappale no. 5038 RFD di __________, il ricorso è stralciato dai ruoli per desistenza ed il valore di stima fissato dal UCS in fr. 6'010.è confermato.</w:t>
      </w:r>
    </w:p>
    <w:p>
      <w:r>
        <w:t>8.4.     La tassa di giustizia di fr. 600.è posta a carico delle parti in ragione della rispettiva soccombenza, di 3/4 per il ricorrente e del rimanente 1/4 per lUCS (art. 38 cpv. 4 Lst.). Questultimo rifonderà al RI 1, che si è avvalso della consulenza di un legale iscritto nellapposito registro degli avvocati, limporto di fr. 300.--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