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40.2005.217 vom 5. Mai 2006</w:t>
      </w:r>
    </w:p>
    <w:p>
      <w:r>
        <w:t>TI Tribunale d'appello, 2006-05-05, IT</w:t>
      </w:r>
    </w:p>
    <w:p>
      <w:r>
        <w:rPr>
          <w:b/>
        </w:rPr>
        <w:t xml:space="preserve">Quelle: </w:t>
      </w:r>
      <w:r>
        <w:t>https://mcp.opencaselaw.ch/entscheid/ti_gerichte_40.2005.217</w:t>
      </w:r>
    </w:p>
    <w:p>
      <w:r>
        <w:t>FR: TI_GERICHTE 40.2005.217 du 5 mai 2006</w:t>
      </w:r>
    </w:p>
    <w:p>
      <w:r>
        <w:t>IT: TI_GERICHTE 40.2005.217 del 5 maggio 2006</w:t>
      </w:r>
    </w:p>
    <w:p>
      <w:pPr>
        <w:pStyle w:val="Heading2"/>
      </w:pPr>
      <w:r>
        <w:t>Erwägungen</w:t>
      </w:r>
    </w:p>
    <w:p>
      <w:r>
        <w:rPr>
          <w:b/>
        </w:rPr>
        <w:t>E. 6.1</w:t>
      </w:r>
    </w:p>
    <w:p>
      <w:r>
        <w:t>I fondi edificati sono valutati come ununità economica comprendente i fabbricati e il relativo terreno annesso (art. 15 cpv. 2 Lst.), nello stato di fatto e di diritto in cui si trovano nel momento della stima (art. 5 Lst.).</w:t>
      </w:r>
    </w:p>
    <w:p>
      <w:r>
        <w:t>A seconda dellestensione dellarea annessa ai fabbricati si procede ad un adeguamento del valore, ritenuto che riserve di terreno manifestamente eccedenti il carattere di complementarietà sono valutate separatamente, secondo la loro funzione ed il loro pieno valore venale (art. 15 cpv. 3 Lst.).</w:t>
      </w:r>
    </w:p>
    <w:p>
      <w:r>
        <w:t>È considerato valore venale di un fondo il prezzo normalmente conseguibile per un oggetto analogo in una libera contrattazione, mentre circostanze eccezionali o personali che possono influire sulla singola contrattazione non vengono considerate (art. 16 cpv. 1 Lst.). Il valore venale di un fondo edificato è determinato tenendo conto del valore metrico e di quello a reddito secondo la media ponderata definita dal regolamento (art. 16 cpv. 2 Lst.).</w:t>
      </w:r>
    </w:p>
    <w:p>
      <w:r>
        <w:rPr>
          <w:b/>
        </w:rPr>
        <w:t>E. 6.2</w:t>
      </w:r>
    </w:p>
    <w:p>
      <w:r>
        <w:t>Il valore metrico di un fabbricato corrisponde al valore a nuovo della costruzione e dei costi accessori, deprezzato a dipendenza della vetustà e comprende il valore del fabbricato più il valore del terreno (art. 17 Lst.).</w:t>
      </w:r>
    </w:p>
    <w:p>
      <w:r>
        <w:t>L art. 9 del Regolamento sulla stima ufficiale prevede che la vetustà è calcolata con una deduzione dall 1% al 3% per ogni anno di età della costruzione, sino ad un massimo del 60%. La variazione della percentuale di deduzione è determinata in base al tipo di costruzione, allo stato di conservazione e alla destinazione del fabbricato, tenendo conto di eventuali lavori di miglioria o ampliamento della costruzione.</w:t>
      </w:r>
    </w:p>
    <w:p>
      <w:r>
        <w:rPr>
          <w:b/>
        </w:rPr>
        <w:t>E. 6.3</w:t>
      </w:r>
    </w:p>
    <w:p>
      <w:r>
        <w:t>Il valore di reddito si ottiene mediante la capitalizzazione del reddito lordo.</w:t>
      </w:r>
    </w:p>
    <w:p>
      <w:r>
        <w:t>Il reddito lordo per i vani che si presentano sfitti al momento dellaccertamento è da calcolare sulla base del reddito presumibile che tiene conto dei valori di mercato (art. 18 cpv. 1 Lst.).</w:t>
      </w:r>
    </w:p>
    <w:p>
      <w:r>
        <w:t>Se non è possibile valutare con attendibilità le utilizzazioni dirette del fondo da parte del proprietario, il valore di reddito può essere considerato mediante fattori correttivi determinati secondo il regolamento. Tali fattori sono determinati sulla base di casi analoghi con redditi di mercato accertati e significativi (art. 18 cpv. 2 Lst.). I fattori correttivi applicabili al valore metrico sono stabiliti per comprensori aventi redditi analoghi e tenendo conto del tipo di costruzione e della relativa utilizzazione (art. 10 del Regolamento sulla stima ufficiale).</w:t>
      </w:r>
    </w:p>
    <w:p>
      <w:r>
        <w:t>Ove vi sia una manifesta discrepanza fra il reddito dichiarato e quello presunto lautorità di stima può adeguare il reddito accertato ai valori normalmente conseguibili sul mercato (art. 18 cpv. 3 Lst.).</w:t>
      </w:r>
    </w:p>
    <w:p>
      <w:r>
        <w:rPr>
          <w:b/>
        </w:rPr>
        <w:t>E. 6.4</w:t>
      </w:r>
    </w:p>
    <w:p>
      <w:r>
        <w:t>Le stime immobiliari, secondo la Lst., seguono criteri di schematicità e di prudenzialità (art. 20 Lst.).</w:t>
      </w:r>
    </w:p>
    <w:p>
      <w:r>
        <w:rPr>
          <w:b/>
        </w:rPr>
        <w:t>E. 7.1</w:t>
      </w:r>
    </w:p>
    <w:p>
      <w:r>
        <w:t>In concreto il Tribunale accoglie il ricorso per i seguenti motivi:</w:t>
      </w:r>
    </w:p>
    <w:p>
      <w:r>
        <w:t>-Sulla base della mappa catastale e delle risultanze di sopralluogo il volume delledificio principale sub. AB deve essere ulteriormente ridotto da 1'032 a 677 mc, che corrisponde alla somma delle misure rilevate per il deposito, di 78 mc (13 mq x 6 m), il portico, di 80 mc (21 mq x 3.80 m), il corpo aggiunto, di 57 mc (15 mq x 3.80 m) e il corpo principale, di 462 mc (77 mq x 6 m). Di conseguenza, anche la superficie abitabile deve essere ridotta da 170 a 113 mq, che corrisponde alla somma di tutte le superfici di cui sopra, ovvero 126 mq, dedotta la superficie del deposito, di 13 mq, chiaramente non abitabile, il tutto moltiplicato per uno, ovvero il numero dei piani effettivamente abitabili. Tutto ciò ha uninfluenza diretta pure sul valore di reddito capitalizzato delledificio, ridotto da CHF 123'315.- a CHF 79'546.-.</w:t>
      </w:r>
    </w:p>
    <w:p>
      <w:r>
        <w:t>-Ritenuto lo standard economico delle finiture, così come la struttura e limpiantistica delledificio, che sono essenzialmente ancora quelle originali, il corrispondente valore metrico di base deve essere ridotto da CHF/mc 302.- a CHF/mc 237.-, che risulta sicuramente più adeguato alle caratteristiche concrete della costruzione.</w:t>
      </w:r>
    </w:p>
    <w:p>
      <w:r>
        <w:rPr>
          <w:b/>
        </w:rPr>
        <w:t>E. 7.2</w:t>
      </w:r>
    </w:p>
    <w:p>
      <w:r>
        <w:t>Per il resto, le valutazioni effettuate dallUCS non prestano il fianco ad alcuna critica, sono ossequiose dei canoni di estimo sanciti dalla Lst. e riflettono in modo prudenziale il prezzo normalmente conseguibile per un oggetto analogo in una libera contrattazione.</w:t>
      </w:r>
    </w:p>
    <w:p>
      <w:r>
        <w:t>In particolare, considerato lanno di edificazione (1919), lo stato dei locali e lincidenza della riattazione totale avvenuta negli anni 1957/1959, il Tribunale ritiene adeguato alla fattispecie concreta lapplicazione di un correttivo della vetustà del -49% sul valore metrico delledificio.</w:t>
      </w:r>
    </w:p>
    <w:p>
      <w:r>
        <w:rPr>
          <w:b/>
        </w:rPr>
        <w:t>E. 8.1</w:t>
      </w:r>
    </w:p>
    <w:p>
      <w:r>
        <w:t>Di conseguenza, il ricorso è accolto e il valore ufficiale di stima del mapp. no. 17 RT di __________ stabilito in CHF 80'488.-, come da scheda di calcolo annessa.</w:t>
      </w:r>
    </w:p>
    <w:p>
      <w:r>
        <w:rPr>
          <w:b/>
        </w:rPr>
        <w:t>E. 8.2</w:t>
      </w:r>
    </w:p>
    <w:p>
      <w:r>
        <w:t>La tassa di giustizia, di CHF 500.-, è posta a carico dellUCS, parte soccombente (art. 38 cpv. 4 Lst.).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