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40.2005.20 vom 10. März 2006</w:t>
      </w:r>
    </w:p>
    <w:p>
      <w:r>
        <w:t>TI Tribunale d'appello, 2006-03-10, IT</w:t>
      </w:r>
    </w:p>
    <w:p>
      <w:r>
        <w:rPr>
          <w:b/>
        </w:rPr>
        <w:t xml:space="preserve">Quelle: </w:t>
      </w:r>
      <w:r>
        <w:t>https://mcp.opencaselaw.ch/entscheid/ti_gerichte_40.2005.20</w:t>
      </w:r>
    </w:p>
    <w:p>
      <w:r>
        <w:t>FR: TI_GERICHTE 40.2005.20 du 10 mars 2006</w:t>
      </w:r>
    </w:p>
    <w:p>
      <w:r>
        <w:t>IT: TI_GERICHTE 40.2005.20 del 10 marzo 2006</w:t>
      </w:r>
    </w:p>
    <w:p>
      <w:pPr>
        <w:pStyle w:val="Heading2"/>
      </w:pPr>
      <w:r>
        <w:t>Erwägungen</w:t>
      </w:r>
    </w:p>
    <w:p>
      <w:r>
        <w:rPr>
          <w:b/>
        </w:rPr>
        <w:t>E. 6.1</w:t>
      </w:r>
    </w:p>
    <w:p>
      <w:r>
        <w:t>I fondi edificati sono valutati come ununità economica comprendente i fabbricati e il relativo terreno annesso (art. 15 cpv. 2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Le stime immobiliari, secondo la Lst., seguono criteri di schematicità e di prudenzialità (art. 20 Lst.).</w:t>
      </w:r>
    </w:p>
    <w:p>
      <w:r>
        <w:rPr>
          <w:b/>
        </w:rPr>
        <w:t>E. 7.1</w:t>
      </w:r>
    </w:p>
    <w:p>
      <w:r>
        <w:t>Nella fattispecie concreta il Tribunale accoglie il ricorso applicando un ulteriore correttivo del -20% sul valore metrico del terreno. Ciò poiché, oltre alla linea elettrica ad alta tensione situata nella parte a valle del mappale, che sorvola parte della superficie edificabile e parte della superficie indicata come bosco, è presente pure una linea elettrica di media tensione che attraversa il terreno nel mezzo e su tutta la sua ampiezza. Tale correttivo considera sia la distanza che eventuali costruzioni devono rispettare dal tracciato delle linee elettriche sia la loro incidenza sul valore venale del fondo.</w:t>
      </w:r>
    </w:p>
    <w:p>
      <w:r>
        <w:rPr>
          <w:b/>
        </w:rPr>
        <w:t>E. 7.2</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t>In particolare, la riduzione del 10% sul valore metrico del terreno per la sua topografia tiene già in debita considerazione che il medesimo è configurato su vari livelli e presenta diversi affioramenti di roccia. Ledificio, già considerato come un accessorio dallUCS, non è attualmente predisposto per labitazione secondaria né tanto meno primaria e pertanto non produce e non può ragionevolmente produrre alcun reddito: ciò che giustifica eccezionalmente la presa in considerazione dei soli valori metrici ad esclusione del valore di reddito.</w:t>
      </w:r>
    </w:p>
    <w:p>
      <w:r>
        <w:rPr>
          <w:b/>
        </w:rPr>
        <w:t>E. 8.1</w:t>
      </w:r>
    </w:p>
    <w:p>
      <w:r>
        <w:t>Di conseguenza, il ricorso è accolto e il valore ufficiale di stima del mappale no. 527 RFD di __________ stabilito in CHF 124'883.-, come da scheda di calcolo annessa.</w:t>
      </w:r>
    </w:p>
    <w:p>
      <w:r>
        <w:rPr>
          <w:b/>
        </w:rPr>
        <w:t>E. 8.2</w:t>
      </w:r>
    </w:p>
    <w:p>
      <w:r>
        <w:t>La tassa di giustizia, di CHF 500.-, è posta a carico dellUCS, parte soccombente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