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40.2005.178 vom 14. Februar 2006</w:t>
      </w:r>
    </w:p>
    <w:p>
      <w:r>
        <w:t>TI Tribunale d'appello, 2006-02-14, IT</w:t>
      </w:r>
    </w:p>
    <w:p>
      <w:r>
        <w:rPr>
          <w:b/>
        </w:rPr>
        <w:t xml:space="preserve">Quelle: </w:t>
      </w:r>
      <w:r>
        <w:t>https://mcp.opencaselaw.ch/entscheid/ti_gerichte_40.2005.178</w:t>
      </w:r>
    </w:p>
    <w:p>
      <w:r>
        <w:t>FR: TI_GERICHTE 40.2005.178 du 14 février 2006</w:t>
      </w:r>
    </w:p>
    <w:p>
      <w:r>
        <w:t>IT: TI_GERICHTE 40.2005.178 del 14 febbraio 2006</w:t>
      </w:r>
    </w:p>
    <w:p>
      <w:pPr>
        <w:pStyle w:val="Heading2"/>
      </w:pPr>
      <w:r>
        <w:t>Erwägungen</w:t>
      </w:r>
    </w:p>
    <w:p>
      <w:r>
        <w:rPr>
          <w:b/>
        </w:rPr>
        <w:t>E. 6.1</w:t>
      </w:r>
    </w:p>
    <w:p>
      <w:r>
        <w:t>I fondi edificati sono valutati come ununità economica comprendente i fabbricati e il relativo terreno annesso (art. 15 cpv. 2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Le stime immobiliari, secondo la Lst., seguono criteri di schematicità e di prudenzialità (art. 20 Lst.).</w:t>
      </w:r>
    </w:p>
    <w:p>
      <w:r>
        <w:rPr>
          <w:b/>
        </w:rPr>
        <w:t>E. 7.1</w:t>
      </w:r>
    </w:p>
    <w:p>
      <w:r>
        <w:t>Nella fattispecie concreta, pur essendoci un reddito dichiarato di CHF 24'650.- annui risultante dal punto 3.2.1 della Dichiarazione per la stima ufficiale della sostanza immobiliare modulo 1-, il Tribunale, che deve accertare dufficio e in modo completo i fatti determinanti per la causa e non è vincolato dalle domande della ricorrente (art. 38 cpv. 2 e 3 Lst.), ha costatato che labitazione è occupata unicamente dalla proprietaria e dalla sua famiglia e che il reddito indicato non corrisponde alla realtà.</w:t>
      </w:r>
    </w:p>
    <w:p>
      <w:r>
        <w:t>Non essendo possibile valutare con attendibilità le utilizzazioni dirette del fondo da parte della proprietaria, il Tribunale ritiene che il valore di reddito presunto preso in considerazione dallUCS, di CHF18522.- annui, ovvero CHF 1'543.50 mensili, oltre ad essere alquanto prudenziale non si discosti da quanto stabilito in casi analoghi sulla base di redditi di mercato accertati e significativi (art. 18 cpv. 2 Lst.). È pertanto tale valore che deve essere computato, ritenuto inoltre che i mappali presi a paragone dalla ricorrente, in parte addirittura situati in una differente zona di PR (mapp. nr. 301 e 303), non presentano manifestamente le medesime caratteristiche determinanti per il calcolo della stima (anno di costruzione delledificio, volume e superficie abitabile, tipo di costruzione, stato di conservazione, superficie e caratteristiche del terreno, ecc.).</w:t>
      </w:r>
    </w:p>
    <w:p>
      <w:r>
        <w:rPr>
          <w:b/>
        </w:rPr>
        <w:t>E. 7.2</w:t>
      </w:r>
    </w:p>
    <w:p>
      <w:r>
        <w:t>Il Tribunale, pure in applicazione degli art. 38 cpv. 2 e 3 Lst., apporta però un correttivo del -25% sul valore metrico del solo terreno eccedente poiché labitazione è posizionata in modo tale da rendere di fatto inedificabile tale superficie, di 496 mq.</w:t>
      </w:r>
    </w:p>
    <w:p>
      <w:r>
        <w:rPr>
          <w:b/>
        </w:rPr>
        <w:t>E. 7.3</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8.1</w:t>
      </w:r>
    </w:p>
    <w:p>
      <w:r>
        <w:t>Di conseguenza, il ricorso è parzialmente accolto e il valore ufficiale di stima del mappale no. 291 RFD di __________ stabilito in CHF 307'960.-, come da scheda di calcolo annessa.</w:t>
      </w:r>
    </w:p>
    <w:p>
      <w:r>
        <w:rPr>
          <w:b/>
        </w:rPr>
        <w:t>E. 8.2</w:t>
      </w:r>
    </w:p>
    <w:p>
      <w:r>
        <w:t>La tassa di giustizia, di CHF 500.-, è posta a carico delle parti in ragione della rispettiva soccombenza, di 1/2 ciascuno.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