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40.2005.155 vom 24. März 2006</w:t>
      </w:r>
    </w:p>
    <w:p>
      <w:r>
        <w:t>TI Tribunale d'appello, 2006-03-24, IT</w:t>
      </w:r>
    </w:p>
    <w:p>
      <w:r>
        <w:rPr>
          <w:b/>
        </w:rPr>
        <w:t xml:space="preserve">Quelle: </w:t>
      </w:r>
      <w:r>
        <w:t>https://mcp.opencaselaw.ch/entscheid/ti_gerichte_40.2005.155</w:t>
      </w:r>
    </w:p>
    <w:p>
      <w:r>
        <w:t>FR: TI_GERICHTE 40.2005.155 du 24 mars 2006</w:t>
      </w:r>
    </w:p>
    <w:p>
      <w:r>
        <w:t>IT: TI_GERICHTE 40.2005.155 del 24 marzo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Nella fattispecie concreta, il Tribunale, che deve accertare dufficio i fatti determinanti per la causa e non è tenuto dalle domande della ricorrente (art. 38 cpv. 2 e 3 Lst.), non ritiene giustificato il correttivo di classe del + 5% applicato dallUCS sul valore metrico a nuovo delledificio principale. Ciò poiché, oltre a non essere stato minimamente argomentato dallautorità di prima istanza e a risultare ingiustificato per rapporto alle caratteristiche specifiche della casa constatate nel corso del sopralluogo, non appare nemmeno ancorato nella Lst., che definisce il valore metrico di un fabbricato come il valore a nuovo della costruzione e dei costi accessori, deprezzato a dipendenza della vetustà secondo i criteri definiti dal regolamento (art. 17 cpv. 2 Lst.) e prevede dei correttivi unicamente sul valore di reddito (art. 18 cpv. 2 Lst. in unione con la nota marginale dellart. 10 del Regolamento sulla stima ufficiale).</w:t>
      </w:r>
    </w:p>
    <w:p>
      <w:r>
        <w:t>Al di là di questultimo aspetto, che può anche rimanere indeciso, il correttivo deve essere stralciato dufficio siccome comunque e in tutti i casi ingiustificato e non sostanziato.</w:t>
      </w:r>
    </w:p>
    <w:p>
      <w:r>
        <w:rPr>
          <w:b/>
        </w:rPr>
        <w:t>E. 7.2</w:t>
      </w:r>
    </w:p>
    <w:p>
      <w:r>
        <w:t>Con sentenza 15 novembre 1989 il Pretore del distretto di __________ ha condannato limpresa di costruzioni ad eliminare gratuitamente i difetti di costruzione constatati mediante perizia giudiziaria, in particolare per ciò che concerne le solette del primo e del secondo piano. Gli interventi indicati sono stati eseguiti a cavallo tra il 1993 e il 1994, come del resto risulta dalla successiva petizione  azione creditoria - __________ introdotta dalla ricorrente presso la Pretura del distretto di __________ (pag.</w:t>
      </w:r>
    </w:p>
    <w:p>
      <w:r>
        <w:rPr>
          <w:b/>
        </w:rPr>
        <w:t>E. 7.3</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t>In particolare, la differenza di valore di stima ufficiale tra i mapp. nr. 1000 e 1001 è dovuta alle superfici differenti dei rispettivi terreni, allesistenza di subalterni differenti e al fatto che gli edifici presenti sul secondo mappale sono stati edificati un anno prima rispetto a quelli costruiti sul primo (dichiarazioni per la stima ufficiale della sostanza immobiliare moduli 1-, punti 2.4).</w:t>
      </w:r>
    </w:p>
    <w:p>
      <w:r>
        <w:t>8.</w:t>
      </w:r>
    </w:p>
    <w:p>
      <w:r>
        <w:t>8.1.</w:t>
      </w:r>
    </w:p>
    <w:p>
      <w:r>
        <w:t>Di conseguenza, il ricorso è parzialmente accolto e il valore ufficiale di stima del mappale no. 1000 RFD di __________ stabilito in CHF 389'223.-, come da scheda di calcolo annessa.</w:t>
      </w:r>
    </w:p>
    <w:p>
      <w:r>
        <w:t>8.2.</w:t>
      </w:r>
    </w:p>
    <w:p>
      <w:r>
        <w:t>La tassa di giustizia, di CHF 500.-, è posta a carico delle parti in ragione della rispettiva soccombenza, di 1/2 ciascuno (art. 38 cpv. 4 Lst.).</w:t>
      </w:r>
    </w:p>
    <w:p>
      <w:r>
        <w:rPr>
          <w:b/>
        </w:rPr>
        <w:t>E. 10</w:t>
      </w:r>
    </w:p>
    <w:p>
      <w:r>
        <w:t>e 11).</w:t>
      </w:r>
    </w:p>
    <w:p>
      <w:r>
        <w:t>Ora, da quanto suesposto, risulta che ai difetti è stato posto rimedio e agli atti non vi è alcunché che possa anche solo far supporre il contrario.</w:t>
      </w:r>
    </w:p>
    <w:p>
      <w:r>
        <w:t>Gli appartamenti, che hanno delle strutture e delle finiture economiche che non possono di fatto garantire unottima isolazione, sono chiaramente abitabili e la decisione di non affittarli a terzi è unicamente una scelta della ricorrente.</w:t>
      </w:r>
    </w:p>
    <w:p>
      <w:r>
        <w:t>Nella fattispecie concreta il Tribunale ritiene comunque che, per quanto attiene il valore di reddito, gli edifici principali sub. A dei mappali nr. 1000 e 1001, che sono sostanzialmente identici, debbano essere trattati uniformemente con la presa in considerazione di un valore di reddito presunto prudenziale di CHF/mq 100.-, che tiene sufficientemente conto delle caratteristiche specifiche degli edifici, non direttamente rapportabili a casi analoghi con redditi di mercato accertati e significativi.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