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40.2005.150 vom 16. Februar 2006</w:t>
      </w:r>
    </w:p>
    <w:p>
      <w:r>
        <w:t>TI Tribunale d'appello, 2006-02-16, IT</w:t>
      </w:r>
    </w:p>
    <w:p>
      <w:r>
        <w:rPr>
          <w:b/>
        </w:rPr>
        <w:t xml:space="preserve">Quelle: </w:t>
      </w:r>
      <w:r>
        <w:t>https://mcp.opencaselaw.ch/entscheid/ti_gerichte_40.2005.150</w:t>
      </w:r>
    </w:p>
    <w:p>
      <w:r>
        <w:t>FR: TI_GERICHTE 40.2005.150 du 16 février 2006</w:t>
      </w:r>
    </w:p>
    <w:p>
      <w:r>
        <w:t>IT: TI_GERICHTE 40.2005.150 del 16 febbraio 2006</w:t>
      </w:r>
    </w:p>
    <w:p>
      <w:pPr>
        <w:pStyle w:val="Heading2"/>
      </w:pPr>
      <w:r>
        <w:t>Erwägungen</w:t>
      </w:r>
    </w:p>
    <w:p>
      <w:r>
        <w:rPr>
          <w:b/>
        </w:rPr>
        <w:t>E. 6.1</w:t>
      </w:r>
    </w:p>
    <w:p>
      <w:r>
        <w:t>I fondi edificati sono valutati come ununità economica comprendente i fabbricati e il relativo terreno annesso (art. 15 cpv. 2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Il valore di reddito si ottiene invece mediante la capitalizzazione del reddito lordo, ritenuto che, ove vi sia una manifesta discrepanza fra il reddito dichiarato e quello presunto, lautorità di stima può adeguare il reddito accertato ai valori normalmente conseguibili sul mercato (art. 18 cpv. 1 e 3 Lst.). 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w:t>
      </w:r>
    </w:p>
    <w:p>
      <w:r>
        <w:rPr>
          <w:b/>
        </w:rPr>
        <w:t>E. 6.3</w:t>
      </w:r>
    </w:p>
    <w:p>
      <w:r>
        <w:t>Le stime immobiliari, secondo la Lst., seguono criteri di schematicità e di prudenzialità (art. 20 Lst.).</w:t>
      </w:r>
    </w:p>
    <w:p>
      <w:r>
        <w:t>7.     Nella fattispecie concreta lUCS ha dapprima tralasciato il valore di reddito di tutti gli edifici, escludendolo completamente dal calcolo della stima, senza peraltro fornire alcuna spiegazione in merito.</w:t>
      </w:r>
    </w:p>
    <w:p>
      <w:r>
        <w:t>A fronte dei contenuti inequivocabili dellart. 16 cpv. 2 Lst. lomissione appare del tutto inspiegabile oltre che errata ed è a giusta ragione che i ricorrenti se ne lamentano.</w:t>
      </w:r>
    </w:p>
    <w:p>
      <w:r>
        <w:t>Ora, anche se il Tribunale di espropriazione giudica con pieno potere cognitivo (art. 38 cpv. 1 Lst. e 18 cpv. 1 LPamm.), la lacuna non è invero sanabile in questa sede, ritenuto che oltre a ciò lautorità di prima istanza non è nemmeno entrata nel merito delle motivazioni che lhanno portata ad applicare dei correttivi di classe così importanti sul valore metrico degli edifici sub. A e sub. T ne tantomeno della richiesta di differenziare i valori metrici del terreno complementare e del terreno eccedente.</w:t>
      </w:r>
    </w:p>
    <w:p>
      <w:r>
        <w:t>Ai sensi degli art. 59 e 65 LPamm., applicabili alla fattispecie concreta in virtù del rinvio generale contenuto allart. 38 cpv. 1 Lst, ritenuto che lautorità di prima istanza, oltre ad aver accertato la fattispecie in modo palesemente incompleto, non è nemmeno entrata nel merito delle specifiche e puntuali censure sollevate con il reclamo, la causa deve esserle rinviata per nuovo giudizio. Diversamente i ricorrenti si vedrebbero ingiustamente preclusa unistanza di giudizio.</w:t>
      </w:r>
    </w:p>
    <w:p>
      <w:r>
        <w:rPr>
          <w:b/>
        </w:rPr>
        <w:t>E. 8.1</w:t>
      </w:r>
    </w:p>
    <w:p>
      <w:r>
        <w:t>Di conseguenza, il ricorso è accolto, la decisione impugnata è annullata e lincarto viene rinviato allUCS affinché, effettuati i necessari accertamenti, proceda ad emettere un nuovo giudizio entrando nel merito delle censure sollevate con il reclamo.</w:t>
      </w:r>
    </w:p>
    <w:p>
      <w:r>
        <w:rPr>
          <w:b/>
        </w:rPr>
        <w:t>E. 8.2</w:t>
      </w:r>
    </w:p>
    <w:p>
      <w:r>
        <w:t>La tassa di giustizia, di CHF 500.-, è posta a carico dellUCS, parte soccombente (art. 38 cpv. 4 Lst.), con lobbligo di versare ai ricorrenti limporto di CHF 350.- a titolo di indennità (art. 31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