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40.2002.2 vom 11. Februar 2003</w:t>
      </w:r>
    </w:p>
    <w:p>
      <w:r>
        <w:t>TI Tribunale d'appello, 2003-02-11, IT</w:t>
      </w:r>
    </w:p>
    <w:p>
      <w:r>
        <w:rPr>
          <w:b/>
        </w:rPr>
        <w:t xml:space="preserve">Quelle: </w:t>
      </w:r>
      <w:r>
        <w:t>https://mcp.opencaselaw.ch/entscheid/ti_gerichte_40.2002.2</w:t>
      </w:r>
    </w:p>
    <w:p>
      <w:r>
        <w:t>FR: TI_GERICHTE 40.2002.2 du 11 février 2003</w:t>
      </w:r>
    </w:p>
    <w:p>
      <w:r>
        <w:t>IT: TI_GERICHTE 40.2002.2 del 11 febbraio 2003</w:t>
      </w:r>
    </w:p>
    <w:p>
      <w:pPr>
        <w:pStyle w:val="Heading2"/>
      </w:pPr>
      <w:r>
        <w:t>Volltext</w:t>
      </w:r>
    </w:p>
    <w:p>
      <w:r>
        <w:t>Incarto n.40.2002.2/AMM</w:t>
      </w:r>
    </w:p>
    <w:p>
      <w:r>
        <w:t>01-2001-363</w:t>
      </w:r>
    </w:p>
    <w:p>
      <w:r>
        <w:t>Bellinzona</w:t>
      </w:r>
    </w:p>
    <w:p>
      <w:r>
        <w:t>11 febbraio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Carmela Fiorini per statuire nella procedura di confisca a carico della</w:t>
      </w:r>
    </w:p>
    <w:p>
      <w:r>
        <w:t>__________ __________,__________</w:t>
      </w:r>
    </w:p>
    <w:p>
      <w:r>
        <w:t>(patrocinata dall'avv. __________ __________,__________);</w:t>
      </w:r>
    </w:p>
    <w:p>
      <w:r>
        <w:t>siccome</w:t>
      </w:r>
    </w:p>
    <w:p>
      <w:r>
        <w:t>ritenuta colpevole di            infrazione all'art. 57 cpv. 1 lett. c, d ed e della legge federale del 21 giugno 1991 sulle telecomunicazioni (vLTC);</w:t>
      </w:r>
    </w:p>
    <w:p>
      <w:r>
        <w:t>per fatti avvenuti                  a __________ e a __________ tra il 1995 e il 15 gennaio 1997;</w:t>
      </w:r>
    </w:p>
    <w:p>
      <w:r>
        <w:t>e meglio                             come all'ordine di confisca indipendente n. __________ di data  __________ 2002 del Ufficio federale delle comunicazioni,__________, con cui si è proposto</w:t>
      </w:r>
    </w:p>
    <w:p>
      <w:r>
        <w:t> la confisca del guadagno illecito per fr. 160 000., e il pagamento di oneri processuali per complessivi fr. 1180.;</w:t>
      </w:r>
    </w:p>
    <w:p>
      <w:r>
        <w:t>vista                                 l'opposizione interposta tempestivamente il 22 febbraio 2002 dall'accusata;</w:t>
      </w:r>
    </w:p>
    <w:p>
      <w:r>
        <w:t>considerato                       che i reati contemplati dall'ordine di confisca in esame sono contravvenzioni a norma della Legge federale sul diritto penale amministrativo;</w:t>
      </w:r>
    </w:p>
    <w:p>
      <w:r>
        <w:t>che secondo l'art. 11 cpv. 1 LDPA l'azione penale per le contravvenzioni si prescrive in due anni;</w:t>
      </w:r>
    </w:p>
    <w:p>
      <w:r>
        <w:t>che il diritto di ordinare la confisca si prescrive nondimeno in cinque anni (art. 59 n. 1 cpv. 3 CP, nella versione in vigore fino al 30 settembre 2002);</w:t>
      </w:r>
    </w:p>
    <w:p>
      <w:r>
        <w:t>che per l'art. 72 n. 2 vCP, in vigore fino al 30 settembre 2002, "la prescrizione è interrotta da ogni atto d'istruzione di un'autorità incaricata dal procedimento come pure da ogni decisione del giudice diretti contro l'agente, in particolare dalle citazioni e dagli interrogatori, dagli ordini d'arresto o di perquisizione domiciliare, da un ordine di perizie, come pure dall'esercizio di ogni rimedio giuridico contro una decisione. In ogni caso d'interruzione comincia a decorrere una nuova prescrizione. Nondimeno, l'azione penale è prescritta in tutti i casi quando il termine ordinario della prescrizione sia superato dalla metà; o, se si tratta di reati contro l'onore e di contravvenzioni, col decorso di un termine pari al doppio della durata normale";</w:t>
      </w:r>
    </w:p>
    <w:p>
      <w:r>
        <w:t>che tale norma si applica anche, per analogia, alla procedura di confisca giusta l'art. 59 CP (Baumannin: Basler Kommentar, StGB I, Basilea 2003, n. 51 in fine ad art. 59 CP);</w:t>
      </w:r>
    </w:p>
    <w:p>
      <w:r>
        <w:t>che in concreto i reati compiuti dall'interessata, per il tramite del suo direttore, sono cessati il 15 gennaio 1997 (ordine di confisca, pag. 6 in basso e pag. 7 in alto; cfr. anche act. IV, pag. 2 verso il basso);</w:t>
      </w:r>
    </w:p>
    <w:p>
      <w:r>
        <w:t>che dopo di allora  e fino all'ordine di confisca del 24 gennaio 2002  non è stato compiuto nessun atto interruttivo della prescrizione nei confronti della società, non essendo essa parte al procedimento penale a carico del proprio direttore (cfr. sentenza 23 marzo 2000 della Camera dei ricorsi penali, consid. 4, nell'inc. DT.__________ della Pretura della giurisdizione di __________ __________);</w:t>
      </w:r>
    </w:p>
    <w:p>
      <w:r>
        <w:t>che le lettere del 2 e del 23 novembre 2001 fra l'Ufficio federale delle comunicazioni e il patrocinatore dell'accusata  di natura meramente interlocutoria  non configurano altresì "atti d'istruzione", né tanto meno "decisioni del giudice diretti contro l'agente" nel senso dell'art. 72 n. 2 cpv. 1 vCP;</w:t>
      </w:r>
    </w:p>
    <w:p>
      <w:r>
        <w:t>che il procedimento di confisca nei confronti dell'accusata si è dunque estinto per prescrizione relativa 5 anni dopo la cessazione dei reati, ossia il 15 gennaio 2002;</w:t>
      </w:r>
    </w:p>
    <w:p>
      <w:r>
        <w:t>per questi motivi,</w:t>
      </w:r>
    </w:p>
    <w:p>
      <w:r>
        <w:t>visti                                  gli art. 72 n. 2 vCP, 11 cpv. 1, 66 segg. LDPA e 273 segg. CPP;</w:t>
      </w:r>
    </w:p>
    <w:p>
      <w:r>
        <w:t>pronuncia:1.     La procedura di confisca nei confronti di __________ __________, __________, è estinta per intervenuta prescrizione.</w:t>
      </w:r>
    </w:p>
    <w:p>
      <w:r>
        <w:t>2.     Non si prelevano tasse o spese, né si assegnano ripetibili.</w:t>
      </w:r>
    </w:p>
    <w:p>
      <w:r>
        <w:t>3.     Contro la presente sentenza può essere interposto ricorso per cassazione alla Corte di cassazione e revisione penale. Il ricorso dev'essere presentato al giudice della Pretura penale, in triplice esemplare, entro venti giorni dalla notificazione della decisione, con la precisa indicazione dei motivi e delle norme di legge che si ritengono lese.</w:t>
      </w:r>
    </w:p>
    <w:p>
      <w:r>
        <w:t>4.     Intimazione a:</w:t>
      </w:r>
    </w:p>
    <w:p>
      <w:r>
        <w:t> __________ __________, __________,</w:t>
      </w:r>
    </w:p>
    <w:p>
      <w:r>
        <w:t> Ufficio federale delle comunicazioni, ______________________________,</w:t>
      </w:r>
    </w:p>
    <w:p>
      <w:r>
        <w:t> avv. __________ __________, __________,</w:t>
      </w:r>
    </w:p>
    <w:p>
      <w:r>
        <w:t> Procuratore pubblico Claudia Solcà, __________,</w:t>
      </w:r>
    </w:p>
    <w:p>
      <w:r>
        <w:t> Procuratore generale della Confederazione, Berna.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